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3" w:rsidRPr="00102617" w:rsidRDefault="006F0B6C">
      <w:pPr>
        <w:pStyle w:val="WW-Zkladntext3"/>
        <w:spacing w:line="228" w:lineRule="auto"/>
        <w:jc w:val="both"/>
        <w:rPr>
          <w:rFonts w:asciiTheme="minorHAnsi" w:hAnsiTheme="minorHAnsi" w:cs="Calibri"/>
          <w:sz w:val="16"/>
          <w:szCs w:val="16"/>
        </w:rPr>
      </w:pPr>
      <w:r w:rsidRPr="00102617">
        <w:rPr>
          <w:rFonts w:asciiTheme="minorHAnsi" w:hAnsiTheme="minorHAnsi" w:cs="Calibri"/>
          <w:sz w:val="16"/>
          <w:szCs w:val="16"/>
        </w:rPr>
        <w:t xml:space="preserve"> </w:t>
      </w:r>
    </w:p>
    <w:p w:rsidR="00E61B43" w:rsidRPr="00846062" w:rsidRDefault="00846062" w:rsidP="00846062">
      <w:pPr>
        <w:pStyle w:val="WW-Zkladntext3"/>
        <w:spacing w:line="228" w:lineRule="auto"/>
        <w:jc w:val="center"/>
        <w:rPr>
          <w:rFonts w:asciiTheme="minorHAnsi" w:hAnsiTheme="minorHAnsi" w:cs="Arial Narrow"/>
          <w:b/>
          <w:bCs/>
          <w:szCs w:val="24"/>
        </w:rPr>
      </w:pPr>
      <w:r w:rsidRPr="00846062">
        <w:rPr>
          <w:rFonts w:asciiTheme="minorHAnsi" w:hAnsiTheme="minorHAnsi" w:cs="Arial Narrow"/>
          <w:b/>
          <w:bCs/>
          <w:szCs w:val="24"/>
        </w:rPr>
        <w:t xml:space="preserve">PŘÍLOHA č. 1  - </w:t>
      </w:r>
      <w:r w:rsidR="006F0B6C" w:rsidRPr="00846062">
        <w:rPr>
          <w:rFonts w:asciiTheme="minorHAnsi" w:hAnsiTheme="minorHAnsi" w:cs="Arial Narrow"/>
          <w:b/>
          <w:bCs/>
          <w:szCs w:val="24"/>
        </w:rPr>
        <w:t>tabulka č.</w:t>
      </w:r>
      <w:r w:rsidRPr="00846062">
        <w:rPr>
          <w:rFonts w:asciiTheme="minorHAnsi" w:hAnsiTheme="minorHAnsi" w:cs="Arial Narrow"/>
          <w:b/>
          <w:bCs/>
          <w:szCs w:val="24"/>
        </w:rPr>
        <w:t xml:space="preserve"> </w:t>
      </w:r>
      <w:r w:rsidR="006F0B6C" w:rsidRPr="00846062">
        <w:rPr>
          <w:rFonts w:asciiTheme="minorHAnsi" w:hAnsiTheme="minorHAnsi" w:cs="Arial Narrow"/>
          <w:b/>
          <w:bCs/>
          <w:szCs w:val="24"/>
        </w:rPr>
        <w:t>1</w:t>
      </w:r>
    </w:p>
    <w:p w:rsidR="00E61B43" w:rsidRPr="00846062" w:rsidRDefault="00E61B43">
      <w:pPr>
        <w:pStyle w:val="Nzev"/>
        <w:tabs>
          <w:tab w:val="left" w:pos="360"/>
        </w:tabs>
        <w:spacing w:line="228" w:lineRule="auto"/>
        <w:rPr>
          <w:rFonts w:asciiTheme="minorHAnsi" w:hAnsiTheme="minorHAnsi" w:cs="Arial Narrow"/>
          <w:sz w:val="20"/>
          <w:szCs w:val="20"/>
        </w:rPr>
      </w:pPr>
    </w:p>
    <w:p w:rsidR="00E61B43" w:rsidRPr="00846062" w:rsidRDefault="006F0B6C">
      <w:pPr>
        <w:pStyle w:val="Nzev"/>
        <w:tabs>
          <w:tab w:val="left" w:pos="360"/>
        </w:tabs>
        <w:spacing w:line="228" w:lineRule="auto"/>
        <w:jc w:val="left"/>
        <w:rPr>
          <w:rFonts w:asciiTheme="minorHAnsi" w:hAnsiTheme="minorHAnsi" w:cs="Arial Narrow"/>
          <w:b w:val="0"/>
          <w:bCs w:val="0"/>
          <w:sz w:val="20"/>
          <w:szCs w:val="20"/>
        </w:rPr>
      </w:pPr>
      <w:r w:rsidRPr="00846062">
        <w:rPr>
          <w:rFonts w:asciiTheme="minorHAnsi" w:hAnsiTheme="minorHAnsi" w:cs="Arial Narrow"/>
          <w:b w:val="0"/>
          <w:bCs w:val="0"/>
          <w:sz w:val="20"/>
          <w:szCs w:val="20"/>
        </w:rPr>
        <w:t>Uchazeč ve své nabídce stanoví částky za plnění díla v následujícím členění:</w:t>
      </w:r>
    </w:p>
    <w:p w:rsidR="00E61B43" w:rsidRPr="00102617" w:rsidRDefault="00E61B43">
      <w:pPr>
        <w:pStyle w:val="Nzev"/>
        <w:tabs>
          <w:tab w:val="left" w:pos="360"/>
        </w:tabs>
        <w:spacing w:line="228" w:lineRule="auto"/>
        <w:jc w:val="left"/>
        <w:rPr>
          <w:rFonts w:asciiTheme="minorHAnsi" w:hAnsiTheme="minorHAnsi"/>
          <w:bCs w:val="0"/>
          <w:sz w:val="16"/>
          <w:szCs w:val="16"/>
        </w:rPr>
      </w:pPr>
    </w:p>
    <w:tbl>
      <w:tblPr>
        <w:tblW w:w="0" w:type="auto"/>
        <w:tblInd w:w="-4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1"/>
          <w:insideV w:val="single" w:sz="4" w:space="0" w:color="000001"/>
        </w:tblBorders>
        <w:tblCellMar>
          <w:top w:w="15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782"/>
        <w:gridCol w:w="1134"/>
        <w:gridCol w:w="1276"/>
        <w:gridCol w:w="1017"/>
        <w:gridCol w:w="1676"/>
      </w:tblGrid>
      <w:tr w:rsidR="00E61B43" w:rsidRPr="00EE0A81" w:rsidTr="00E2020B">
        <w:trPr>
          <w:trHeight w:val="255"/>
        </w:trPr>
        <w:tc>
          <w:tcPr>
            <w:tcW w:w="81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EE0A81" w:rsidRDefault="00E61B43" w:rsidP="00461B4B">
            <w:pPr>
              <w:pStyle w:val="Normln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296E3F" w:rsidRDefault="00191573" w:rsidP="00094F5E">
            <w:pPr>
              <w:pStyle w:val="Normln1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96E3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Předmět činnosti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EE0A81" w:rsidRDefault="006F0B6C" w:rsidP="00EE0A81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E0A81">
              <w:rPr>
                <w:rFonts w:asciiTheme="minorHAnsi" w:hAnsiTheme="minorHAnsi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EE0A81" w:rsidRDefault="006F0B6C" w:rsidP="00EE0A81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E0A81">
              <w:rPr>
                <w:rFonts w:asciiTheme="minorHAnsi" w:hAnsiTheme="minorHAnsi"/>
                <w:b/>
                <w:bCs/>
                <w:sz w:val="16"/>
                <w:szCs w:val="16"/>
              </w:rPr>
              <w:t>Cena za jednotku</w:t>
            </w:r>
          </w:p>
          <w:p w:rsidR="00E61B43" w:rsidRPr="00EE0A81" w:rsidRDefault="006F0B6C" w:rsidP="00EE0A81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E0A81">
              <w:rPr>
                <w:rFonts w:asciiTheme="minorHAnsi" w:hAnsiTheme="minorHAnsi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101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43AB8" w:rsidRDefault="00102617" w:rsidP="00EE0A81">
            <w:pPr>
              <w:pStyle w:val="Normln1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EE0A81">
              <w:rPr>
                <w:rFonts w:asciiTheme="minorHAnsi" w:hAnsiTheme="minorHAnsi"/>
                <w:b/>
                <w:iCs/>
                <w:sz w:val="16"/>
                <w:szCs w:val="16"/>
              </w:rPr>
              <w:t>Předpoklá</w:t>
            </w:r>
            <w:r w:rsidR="00843AB8">
              <w:rPr>
                <w:rFonts w:asciiTheme="minorHAnsi" w:hAnsiTheme="minorHAnsi"/>
                <w:b/>
                <w:iCs/>
                <w:sz w:val="16"/>
                <w:szCs w:val="16"/>
              </w:rPr>
              <w:t xml:space="preserve">daný </w:t>
            </w:r>
            <w:r w:rsidR="00843AB8" w:rsidRPr="00296E3F">
              <w:rPr>
                <w:rFonts w:asciiTheme="minorHAnsi" w:hAnsiTheme="minorHAnsi"/>
                <w:b/>
                <w:iCs/>
                <w:color w:val="auto"/>
                <w:sz w:val="16"/>
                <w:szCs w:val="16"/>
              </w:rPr>
              <w:t>objem</w:t>
            </w:r>
            <w:r w:rsidR="006F0B6C" w:rsidRPr="00296E3F">
              <w:rPr>
                <w:rFonts w:asciiTheme="minorHAnsi" w:hAnsiTheme="minorHAnsi"/>
                <w:b/>
                <w:iCs/>
                <w:color w:val="auto"/>
                <w:sz w:val="16"/>
                <w:szCs w:val="16"/>
              </w:rPr>
              <w:t xml:space="preserve"> </w:t>
            </w:r>
            <w:r w:rsidR="006F0B6C" w:rsidRPr="00EE0A81">
              <w:rPr>
                <w:rFonts w:asciiTheme="minorHAnsi" w:hAnsiTheme="minorHAnsi"/>
                <w:b/>
                <w:iCs/>
                <w:sz w:val="16"/>
                <w:szCs w:val="16"/>
              </w:rPr>
              <w:t xml:space="preserve">prací </w:t>
            </w:r>
          </w:p>
          <w:p w:rsidR="00E61B43" w:rsidRPr="00EE0A81" w:rsidRDefault="006F0B6C" w:rsidP="00EE0A81">
            <w:pPr>
              <w:pStyle w:val="Normln1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EE0A81">
              <w:rPr>
                <w:rFonts w:asciiTheme="minorHAnsi" w:hAnsiTheme="minorHAnsi"/>
                <w:b/>
                <w:iCs/>
                <w:sz w:val="16"/>
                <w:szCs w:val="16"/>
              </w:rPr>
              <w:t>za 1 rok</w:t>
            </w:r>
          </w:p>
        </w:tc>
        <w:tc>
          <w:tcPr>
            <w:tcW w:w="167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61B43" w:rsidRPr="00EE0A81" w:rsidRDefault="00843AB8" w:rsidP="00EE0A81">
            <w:pPr>
              <w:pStyle w:val="Normln1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Cs/>
                <w:sz w:val="16"/>
                <w:szCs w:val="16"/>
              </w:rPr>
              <w:t>C</w:t>
            </w:r>
            <w:r w:rsidR="00102617" w:rsidRPr="00EE0A81">
              <w:rPr>
                <w:rFonts w:asciiTheme="minorHAnsi" w:hAnsiTheme="minorHAnsi"/>
                <w:b/>
                <w:iCs/>
                <w:sz w:val="16"/>
                <w:szCs w:val="16"/>
              </w:rPr>
              <w:t xml:space="preserve">ena bez </w:t>
            </w:r>
            <w:r w:rsidR="006F0B6C" w:rsidRPr="00EE0A81">
              <w:rPr>
                <w:rFonts w:asciiTheme="minorHAnsi" w:hAnsiTheme="minorHAnsi"/>
                <w:b/>
                <w:iCs/>
                <w:sz w:val="16"/>
                <w:szCs w:val="16"/>
              </w:rPr>
              <w:t xml:space="preserve">DPH </w:t>
            </w:r>
            <w:r w:rsidR="00461B4B">
              <w:rPr>
                <w:rFonts w:asciiTheme="minorHAnsi" w:hAnsiTheme="minorHAnsi"/>
                <w:b/>
                <w:iCs/>
                <w:color w:val="7030A0"/>
                <w:sz w:val="16"/>
                <w:szCs w:val="16"/>
              </w:rPr>
              <w:t xml:space="preserve">za </w:t>
            </w:r>
            <w:r w:rsidR="00461B4B" w:rsidRPr="00296E3F">
              <w:rPr>
                <w:rFonts w:asciiTheme="minorHAnsi" w:hAnsiTheme="minorHAnsi"/>
                <w:b/>
                <w:iCs/>
                <w:color w:val="auto"/>
                <w:sz w:val="16"/>
                <w:szCs w:val="16"/>
              </w:rPr>
              <w:t xml:space="preserve">předpokládaný objem prací </w:t>
            </w:r>
            <w:r w:rsidR="006F0B6C" w:rsidRPr="00296E3F">
              <w:rPr>
                <w:rFonts w:asciiTheme="minorHAnsi" w:hAnsiTheme="minorHAnsi"/>
                <w:b/>
                <w:iCs/>
                <w:color w:val="auto"/>
                <w:sz w:val="16"/>
                <w:szCs w:val="16"/>
              </w:rPr>
              <w:t>za 1 rok</w:t>
            </w:r>
          </w:p>
        </w:tc>
      </w:tr>
      <w:tr w:rsidR="00E61B43" w:rsidRPr="00102617" w:rsidTr="00E2020B">
        <w:trPr>
          <w:trHeight w:val="255"/>
        </w:trPr>
        <w:tc>
          <w:tcPr>
            <w:tcW w:w="815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82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bottom"/>
          </w:tcPr>
          <w:p w:rsidR="00E61B43" w:rsidRPr="00094F5E" w:rsidRDefault="006F0B6C" w:rsidP="00094F5E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94F5E">
              <w:rPr>
                <w:rFonts w:asciiTheme="minorHAnsi" w:hAnsiTheme="minorHAnsi"/>
                <w:b/>
                <w:bCs/>
                <w:sz w:val="18"/>
                <w:szCs w:val="18"/>
              </w:rPr>
              <w:t>Čištění komunikací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 xml:space="preserve">Strojní čištění vozovek  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13.000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Strojní čištění ploch křižovatek/parkovišť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8E13BD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300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.000 m</w:t>
            </w:r>
            <w:r w:rsidR="006F0B6C"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 xml:space="preserve">Strojní čištění chodníků  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1FC3" w:rsidRDefault="00101FC3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01FC3">
              <w:rPr>
                <w:rFonts w:asciiTheme="minorHAnsi" w:hAnsiTheme="minorHAnsi"/>
                <w:color w:val="auto"/>
                <w:sz w:val="16"/>
                <w:szCs w:val="16"/>
              </w:rPr>
              <w:t>4</w:t>
            </w:r>
            <w:r w:rsidR="006F0B6C" w:rsidRPr="00101FC3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101FC3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  <w:r w:rsidR="006F0B6C" w:rsidRPr="00101FC3">
              <w:rPr>
                <w:rFonts w:asciiTheme="minorHAnsi" w:hAnsiTheme="minorHAnsi"/>
                <w:color w:val="auto"/>
                <w:sz w:val="16"/>
                <w:szCs w:val="16"/>
              </w:rPr>
              <w:t>00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Ruční čištění chodníků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 </w:t>
            </w:r>
            <w:proofErr w:type="spellStart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bkm</w:t>
            </w:r>
            <w:proofErr w:type="spellEnd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1FC3" w:rsidRDefault="00101FC3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01FC3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  <w:r w:rsidR="006F0B6C" w:rsidRPr="00101FC3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="00D2038D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  <w:r w:rsidR="006F0B6C" w:rsidRPr="00101FC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00 </w:t>
            </w:r>
            <w:proofErr w:type="spellStart"/>
            <w:r w:rsidR="006F0B6C" w:rsidRPr="00101FC3">
              <w:rPr>
                <w:rFonts w:asciiTheme="minorHAnsi" w:hAnsiTheme="minorHAnsi"/>
                <w:color w:val="auto"/>
                <w:sz w:val="16"/>
                <w:szCs w:val="16"/>
              </w:rPr>
              <w:t>bkm</w:t>
            </w:r>
            <w:proofErr w:type="spellEnd"/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Čištění pomocí vysávacího zařízení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360 000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Ruční čištění schodišť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155.000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Blokové čištění komunikací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 </w:t>
            </w:r>
            <w:proofErr w:type="spellStart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bkm</w:t>
            </w:r>
            <w:proofErr w:type="spellEnd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1</w:t>
            </w:r>
            <w:r w:rsidR="00030238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 </w:t>
            </w:r>
            <w:proofErr w:type="spellStart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bkm</w:t>
            </w:r>
            <w:proofErr w:type="spellEnd"/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Blokové čištění ploch parkovišť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5C2DA0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75.000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Čištění dešťových vpustí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 ks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  <w:r w:rsidR="008538AB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000 ks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Kropení komunikací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0D5AC1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 </w:t>
            </w:r>
            <w:proofErr w:type="spellStart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bkm</w:t>
            </w:r>
            <w:proofErr w:type="spellEnd"/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8538AB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1.000 </w:t>
            </w:r>
            <w:proofErr w:type="spellStart"/>
            <w:r w:rsidR="00101FC3">
              <w:rPr>
                <w:rFonts w:asciiTheme="minorHAnsi" w:hAnsiTheme="minorHAnsi"/>
                <w:color w:val="auto"/>
                <w:sz w:val="16"/>
                <w:szCs w:val="16"/>
              </w:rPr>
              <w:t>b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km</w:t>
            </w:r>
            <w:proofErr w:type="spellEnd"/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Odstraňování žvýkaček a hrubých nečistot z horizontálních ploch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</w:t>
            </w:r>
            <w:r w:rsidR="00C32EC1" w:rsidRPr="00102617">
              <w:rPr>
                <w:rFonts w:asciiTheme="minorHAnsi" w:hAnsiTheme="minorHAnsi"/>
                <w:sz w:val="16"/>
                <w:szCs w:val="16"/>
              </w:rPr>
              <w:t>m</w:t>
            </w:r>
            <w:r w:rsidR="00C32EC1"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C32EC1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2</w:t>
            </w:r>
            <w:r w:rsidR="008538AB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000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 w:cs="Arial Narrow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O</w:t>
            </w:r>
            <w:r w:rsidRPr="00102617">
              <w:rPr>
                <w:rFonts w:asciiTheme="minorHAnsi" w:hAnsiTheme="minorHAnsi" w:cs="Arial Narrow"/>
                <w:sz w:val="16"/>
                <w:szCs w:val="16"/>
              </w:rPr>
              <w:t>dstranění následků mimořádné/nepředvídatelné události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r w:rsidR="008538AB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000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Úklid komunikace po zásahu HZS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výjezd (zásah)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8538AB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 w:rsidP="005C2DA0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</w:t>
            </w:r>
            <w:r w:rsidR="005C2DA0" w:rsidRPr="00102617">
              <w:rPr>
                <w:rFonts w:asciiTheme="minorHAnsi" w:hAnsiTheme="minorHAnsi"/>
                <w:sz w:val="16"/>
                <w:szCs w:val="16"/>
              </w:rPr>
              <w:t>4</w:t>
            </w:r>
            <w:r w:rsidRPr="00102617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Likvidace biologicky rozložitelného odpadu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5C2DA0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 w:rsidP="005C2DA0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</w:t>
            </w:r>
            <w:r w:rsidR="005C2DA0" w:rsidRPr="00102617">
              <w:rPr>
                <w:rFonts w:asciiTheme="minorHAnsi" w:hAnsiTheme="minorHAnsi"/>
                <w:sz w:val="16"/>
                <w:szCs w:val="16"/>
              </w:rPr>
              <w:t>4</w:t>
            </w:r>
            <w:r w:rsidRPr="00102617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Likvidace objemového odpadu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5C2DA0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5 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 w:rsidP="005C2DA0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</w:t>
            </w:r>
            <w:r w:rsidR="005C2DA0" w:rsidRPr="00102617">
              <w:rPr>
                <w:rFonts w:asciiTheme="minorHAnsi" w:hAnsiTheme="minorHAnsi"/>
                <w:sz w:val="16"/>
                <w:szCs w:val="16"/>
              </w:rPr>
              <w:t>4</w:t>
            </w:r>
            <w:r w:rsidRPr="00102617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Likvidace směsného komunálního odpadu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1t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5C2DA0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2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t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2F2F2" w:themeFill="background1" w:themeFillShade="F2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782" w:type="dxa"/>
            <w:shd w:val="clear" w:color="auto" w:fill="F2F2F2" w:themeFill="background1" w:themeFillShade="F2"/>
            <w:tcMar>
              <w:left w:w="0" w:type="dxa"/>
            </w:tcMar>
            <w:vAlign w:val="bottom"/>
          </w:tcPr>
          <w:p w:rsidR="00E61B43" w:rsidRPr="00094F5E" w:rsidRDefault="006F0B6C" w:rsidP="00094F5E">
            <w:pPr>
              <w:pStyle w:val="Normln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94F5E">
              <w:rPr>
                <w:rFonts w:asciiTheme="minorHAnsi" w:hAnsiTheme="minorHAnsi"/>
                <w:b/>
                <w:bCs/>
                <w:sz w:val="18"/>
                <w:szCs w:val="18"/>
              </w:rPr>
              <w:t>Zimní údržba komunikací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98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držení pohotovosti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den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151 dní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strojní ošetření vozovek plužením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971220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600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461B4B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strojní ošetření vozovek </w:t>
            </w:r>
            <w:r w:rsidR="006F0B6C" w:rsidRPr="00102617">
              <w:rPr>
                <w:rFonts w:asciiTheme="minorHAnsi" w:hAnsiTheme="minorHAnsi"/>
                <w:sz w:val="16"/>
                <w:szCs w:val="16"/>
              </w:rPr>
              <w:t xml:space="preserve">plužením </w:t>
            </w:r>
            <w:r>
              <w:rPr>
                <w:rFonts w:asciiTheme="minorHAnsi" w:hAnsiTheme="minorHAnsi"/>
                <w:sz w:val="16"/>
                <w:szCs w:val="16"/>
              </w:rPr>
              <w:t>a chemický</w:t>
            </w:r>
            <w:r w:rsidR="006F0B6C" w:rsidRPr="00102617">
              <w:rPr>
                <w:rFonts w:asciiTheme="minorHAnsi" w:hAnsiTheme="minorHAnsi"/>
                <w:sz w:val="16"/>
                <w:szCs w:val="16"/>
              </w:rPr>
              <w:t xml:space="preserve"> posyp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115EB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2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.000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strojní ošetření vozovek plužením a inertní posyp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115EB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100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0B48C4" w:rsidRDefault="006F0B6C" w:rsidP="00E2020B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0B48C4">
              <w:rPr>
                <w:rFonts w:asciiTheme="minorHAnsi" w:hAnsiTheme="minorHAnsi"/>
                <w:sz w:val="16"/>
                <w:szCs w:val="16"/>
              </w:rPr>
              <w:t xml:space="preserve">strojní ošetření vozovek </w:t>
            </w:r>
            <w:r w:rsidR="00E2020B" w:rsidRPr="000B48C4">
              <w:rPr>
                <w:rFonts w:asciiTheme="minorHAnsi" w:hAnsiTheme="minorHAnsi"/>
                <w:sz w:val="16"/>
                <w:szCs w:val="16"/>
              </w:rPr>
              <w:t>chemickým postřikem (solankou)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0B48C4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B48C4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115EB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0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strojní ošetření chodníků plužením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115EB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200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strojní ošetření chodníků plužením a chemický posyp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0D5AC1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1.000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strojní ošetření chodníků plužením a inertní posyp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0D5AC1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50 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ruční o</w:t>
            </w:r>
            <w:r w:rsidR="00183B17">
              <w:rPr>
                <w:rFonts w:asciiTheme="minorHAnsi" w:hAnsiTheme="minorHAnsi"/>
                <w:sz w:val="16"/>
                <w:szCs w:val="16"/>
              </w:rPr>
              <w:t>čištění chodníků a parkových cest</w:t>
            </w:r>
            <w:r w:rsidR="00461B4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83B17">
              <w:rPr>
                <w:rFonts w:asciiTheme="minorHAnsi" w:hAnsiTheme="minorHAnsi"/>
                <w:sz w:val="16"/>
                <w:szCs w:val="16"/>
              </w:rPr>
              <w:t xml:space="preserve">včetně chemického </w:t>
            </w:r>
            <w:r w:rsidRPr="00102617">
              <w:rPr>
                <w:rFonts w:asciiTheme="minorHAnsi" w:hAnsiTheme="minorHAnsi"/>
                <w:sz w:val="16"/>
                <w:szCs w:val="16"/>
              </w:rPr>
              <w:t>posypu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115EB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60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183B17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ruční očištění chodníků a parkových cest </w:t>
            </w:r>
            <w:r w:rsidR="006F0B6C" w:rsidRPr="00102617">
              <w:rPr>
                <w:rFonts w:asciiTheme="minorHAnsi" w:hAnsiTheme="minorHAnsi"/>
                <w:sz w:val="16"/>
                <w:szCs w:val="16"/>
              </w:rPr>
              <w:t>včetně inertního posypu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20 km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ruční očištění</w:t>
            </w:r>
            <w:r w:rsidR="00183B17">
              <w:rPr>
                <w:rFonts w:asciiTheme="minorHAnsi" w:hAnsiTheme="minorHAnsi"/>
                <w:sz w:val="16"/>
                <w:szCs w:val="16"/>
              </w:rPr>
              <w:t xml:space="preserve"> schodišť a jiných ploch včetně chemického </w:t>
            </w:r>
            <w:r w:rsidRPr="00102617">
              <w:rPr>
                <w:rFonts w:asciiTheme="minorHAnsi" w:hAnsiTheme="minorHAnsi"/>
                <w:sz w:val="16"/>
                <w:szCs w:val="16"/>
              </w:rPr>
              <w:t>posypu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  <w:r w:rsidR="0002695F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.000 m</w:t>
            </w:r>
            <w:r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ruční očištění schodišť a jiných ploch včetně inertního posypu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tcMar>
              <w:left w:w="0" w:type="dxa"/>
            </w:tcMar>
            <w:vAlign w:val="center"/>
          </w:tcPr>
          <w:p w:rsidR="00E61B43" w:rsidRPr="00E2020B" w:rsidRDefault="0002695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.000 m</w:t>
            </w:r>
            <w:r w:rsidR="006F0B6C"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E2020B" w:rsidRDefault="00E61B43">
            <w:pPr>
              <w:pStyle w:val="Normln1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Ruční ošetření nástupních ploch MHD včetně chemického posypu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02695F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r w:rsidR="00BE6D4D">
              <w:rPr>
                <w:rFonts w:asciiTheme="minorHAnsi" w:hAnsiTheme="minorHAnsi"/>
                <w:color w:val="auto"/>
                <w:sz w:val="16"/>
                <w:szCs w:val="16"/>
              </w:rPr>
              <w:t>2.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000 m</w:t>
            </w:r>
            <w:r w:rsidR="006F0B6C"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R</w:t>
            </w:r>
            <w:r w:rsidR="00183B17">
              <w:rPr>
                <w:rFonts w:asciiTheme="minorHAnsi" w:hAnsiTheme="minorHAnsi"/>
                <w:sz w:val="16"/>
                <w:szCs w:val="16"/>
              </w:rPr>
              <w:t xml:space="preserve">uční ošetření nástupních ploch </w:t>
            </w:r>
            <w:r w:rsidRPr="00102617">
              <w:rPr>
                <w:rFonts w:asciiTheme="minorHAnsi" w:hAnsiTheme="minorHAnsi"/>
                <w:sz w:val="16"/>
                <w:szCs w:val="16"/>
              </w:rPr>
              <w:t>MHD včetně inertního posypu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m</w:t>
            </w:r>
            <w:r w:rsidRPr="0066644D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BE6D4D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1.200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</w:t>
            </w:r>
            <w:r w:rsidR="006F0B6C" w:rsidRPr="0066644D">
              <w:rPr>
                <w:rFonts w:asciiTheme="minorHAnsi" w:hAnsiTheme="minorHAnsi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dočištění vstupů na přechody pro chodce</w:t>
            </w:r>
            <w:r w:rsidR="00183B1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2695F" w:rsidRPr="00102617">
              <w:rPr>
                <w:rFonts w:asciiTheme="minorHAnsi" w:hAnsiTheme="minorHAnsi"/>
                <w:sz w:val="16"/>
                <w:szCs w:val="16"/>
              </w:rPr>
              <w:t>(celkem 122)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přechod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5C2DA0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20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x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Mimořádný prodej soli zadavateli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kg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100 kg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17.</w:t>
            </w:r>
          </w:p>
        </w:tc>
        <w:tc>
          <w:tcPr>
            <w:tcW w:w="3782" w:type="dxa"/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Mimořádný prodej inertního materiálu zadavateli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kg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5C2DA0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30 </w:t>
            </w:r>
            <w:r w:rsidR="006F0B6C" w:rsidRPr="00E2020B">
              <w:rPr>
                <w:rFonts w:asciiTheme="minorHAnsi" w:hAnsiTheme="minorHAnsi"/>
                <w:color w:val="auto"/>
                <w:sz w:val="16"/>
                <w:szCs w:val="16"/>
              </w:rPr>
              <w:t>kg</w:t>
            </w:r>
          </w:p>
        </w:tc>
        <w:tc>
          <w:tcPr>
            <w:tcW w:w="1676" w:type="dxa"/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C7580E">
        <w:trPr>
          <w:trHeight w:val="255"/>
        </w:trPr>
        <w:tc>
          <w:tcPr>
            <w:tcW w:w="815" w:type="dxa"/>
            <w:tcBorders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7C6AE9" w:rsidP="007C6AE9">
            <w:pPr>
              <w:pStyle w:val="Normln1"/>
              <w:ind w:left="7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18.</w:t>
            </w:r>
            <w:bookmarkStart w:id="0" w:name="_GoBack"/>
            <w:bookmarkEnd w:id="0"/>
          </w:p>
        </w:tc>
        <w:tc>
          <w:tcPr>
            <w:tcW w:w="3782" w:type="dxa"/>
            <w:tcBorders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6F0B6C">
            <w:pPr>
              <w:pStyle w:val="Normln1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Mimořádný odvoz sněhu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1 km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61B43" w:rsidRPr="00E2020B" w:rsidRDefault="006F0B6C" w:rsidP="0066644D">
            <w:pPr>
              <w:pStyle w:val="Normln1"/>
              <w:ind w:right="57"/>
              <w:jc w:val="righ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2020B">
              <w:rPr>
                <w:rFonts w:asciiTheme="minorHAnsi" w:hAnsiTheme="minorHAnsi"/>
                <w:color w:val="auto"/>
                <w:sz w:val="16"/>
                <w:szCs w:val="16"/>
              </w:rPr>
              <w:t>30 km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1B43" w:rsidRPr="00102617" w:rsidTr="00DD7AB1">
        <w:trPr>
          <w:trHeight w:val="255"/>
        </w:trPr>
        <w:tc>
          <w:tcPr>
            <w:tcW w:w="815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A0D97" w:rsidRPr="00C7580E" w:rsidRDefault="00DA0D97">
            <w:pPr>
              <w:pStyle w:val="WW-Prosttext"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C7580E"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18"/>
              </w:rPr>
              <w:t>Cena bez DPH za předpokládaný roční objem prací</w:t>
            </w:r>
          </w:p>
        </w:tc>
        <w:tc>
          <w:tcPr>
            <w:tcW w:w="113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1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61B43" w:rsidRPr="00102617" w:rsidRDefault="006F0B6C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2617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676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E61B43" w:rsidRPr="00102617" w:rsidRDefault="00E61B43">
            <w:pPr>
              <w:pStyle w:val="Normln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06A08" w:rsidRPr="00206A08" w:rsidRDefault="00206A08" w:rsidP="00206A08">
      <w:pPr>
        <w:pStyle w:val="Nzev"/>
        <w:jc w:val="left"/>
        <w:rPr>
          <w:rFonts w:asciiTheme="minorHAnsi" w:hAnsiTheme="minorHAnsi"/>
          <w:sz w:val="16"/>
          <w:szCs w:val="16"/>
        </w:rPr>
      </w:pPr>
      <w:r w:rsidRPr="00206A08">
        <w:rPr>
          <w:rFonts w:asciiTheme="minorHAnsi" w:hAnsiTheme="minorHAnsi"/>
          <w:sz w:val="16"/>
          <w:szCs w:val="16"/>
        </w:rPr>
        <w:t>*</w:t>
      </w:r>
      <w:proofErr w:type="spellStart"/>
      <w:r w:rsidRPr="00206A08">
        <w:rPr>
          <w:rFonts w:asciiTheme="minorHAnsi" w:hAnsiTheme="minorHAnsi"/>
          <w:sz w:val="16"/>
          <w:szCs w:val="16"/>
        </w:rPr>
        <w:t>bkm</w:t>
      </w:r>
      <w:proofErr w:type="spellEnd"/>
      <w:r w:rsidRPr="00206A08">
        <w:rPr>
          <w:rFonts w:asciiTheme="minorHAnsi" w:hAnsiTheme="minorHAnsi"/>
          <w:sz w:val="16"/>
          <w:szCs w:val="16"/>
        </w:rPr>
        <w:t xml:space="preserve"> - běžný km </w:t>
      </w:r>
    </w:p>
    <w:p w:rsidR="00846062" w:rsidRDefault="00846062" w:rsidP="00206A08">
      <w:pPr>
        <w:pStyle w:val="Podtitul"/>
        <w:tabs>
          <w:tab w:val="left" w:pos="360"/>
        </w:tabs>
        <w:spacing w:line="228" w:lineRule="auto"/>
        <w:jc w:val="left"/>
        <w:rPr>
          <w:rFonts w:asciiTheme="minorHAnsi" w:hAnsiTheme="minorHAnsi"/>
          <w:b/>
          <w:bCs/>
          <w:i w:val="0"/>
          <w:iCs w:val="0"/>
          <w:sz w:val="20"/>
          <w:szCs w:val="20"/>
        </w:rPr>
      </w:pPr>
    </w:p>
    <w:p w:rsidR="00846062" w:rsidRPr="00846062" w:rsidRDefault="00846062" w:rsidP="00846062">
      <w:pPr>
        <w:pStyle w:val="Podtitul"/>
        <w:tabs>
          <w:tab w:val="left" w:pos="360"/>
        </w:tabs>
        <w:spacing w:line="228" w:lineRule="auto"/>
        <w:rPr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846062">
        <w:rPr>
          <w:rFonts w:asciiTheme="minorHAnsi" w:hAnsiTheme="minorHAnsi"/>
          <w:b/>
          <w:bCs/>
          <w:i w:val="0"/>
          <w:iCs w:val="0"/>
          <w:sz w:val="24"/>
          <w:szCs w:val="24"/>
        </w:rPr>
        <w:t>PŘÍLOHA</w:t>
      </w:r>
      <w:r w:rsidR="006F0B6C" w:rsidRPr="00846062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č.</w:t>
      </w:r>
      <w:r w:rsidR="00251361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="006F0B6C" w:rsidRPr="00846062">
        <w:rPr>
          <w:rFonts w:asciiTheme="minorHAnsi" w:hAnsiTheme="minorHAnsi"/>
          <w:b/>
          <w:bCs/>
          <w:i w:val="0"/>
          <w:iCs w:val="0"/>
          <w:sz w:val="24"/>
          <w:szCs w:val="24"/>
        </w:rPr>
        <w:t>1 – tabulka č.</w:t>
      </w:r>
      <w:r w:rsidR="00251361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="006F0B6C" w:rsidRPr="00846062">
        <w:rPr>
          <w:rFonts w:asciiTheme="minorHAnsi" w:hAnsiTheme="minorHAnsi"/>
          <w:b/>
          <w:bCs/>
          <w:i w:val="0"/>
          <w:iCs w:val="0"/>
          <w:sz w:val="24"/>
          <w:szCs w:val="24"/>
        </w:rPr>
        <w:t>2</w:t>
      </w:r>
    </w:p>
    <w:tbl>
      <w:tblPr>
        <w:tblW w:w="0" w:type="auto"/>
        <w:tblInd w:w="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7"/>
      </w:tblGrid>
      <w:tr w:rsidR="00E61B43" w:rsidRPr="00102617" w:rsidTr="00DD7AB1">
        <w:tc>
          <w:tcPr>
            <w:tcW w:w="4818" w:type="dxa"/>
            <w:shd w:val="clear" w:color="auto" w:fill="FFFFFF"/>
            <w:tcMar>
              <w:left w:w="46" w:type="dxa"/>
            </w:tcMar>
          </w:tcPr>
          <w:p w:rsidR="00E61B43" w:rsidRPr="00296E3F" w:rsidRDefault="0089605F" w:rsidP="00251361">
            <w:pPr>
              <w:pStyle w:val="Obsahtabulky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96E3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CELKOVÁ CENA BEZ DPH ZA PŘEDPOKLÁDANÝ OBJEM PRACÍ ZA DOBU PLNĚNÍ (4 ROKY)</w:t>
            </w:r>
          </w:p>
        </w:tc>
        <w:tc>
          <w:tcPr>
            <w:tcW w:w="4817" w:type="dxa"/>
            <w:shd w:val="clear" w:color="auto" w:fill="FDE9D9" w:themeFill="accent6" w:themeFillTint="33"/>
            <w:tcMar>
              <w:left w:w="46" w:type="dxa"/>
            </w:tcMar>
          </w:tcPr>
          <w:p w:rsidR="00E61B43" w:rsidRPr="00102617" w:rsidRDefault="00E61B43">
            <w:pPr>
              <w:pStyle w:val="Obsahtabulk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85378" w:rsidRDefault="00F85378" w:rsidP="00F85378">
      <w:pPr>
        <w:pStyle w:val="Nzev"/>
        <w:tabs>
          <w:tab w:val="left" w:pos="360"/>
        </w:tabs>
        <w:spacing w:line="228" w:lineRule="auto"/>
        <w:jc w:val="left"/>
        <w:rPr>
          <w:rFonts w:asciiTheme="minorHAnsi" w:hAnsiTheme="minorHAnsi" w:cs="Arial Narrow"/>
          <w:b w:val="0"/>
          <w:bCs w:val="0"/>
          <w:sz w:val="16"/>
          <w:szCs w:val="16"/>
        </w:rPr>
      </w:pPr>
    </w:p>
    <w:p w:rsidR="00206A08" w:rsidRPr="00206A08" w:rsidRDefault="00206A08" w:rsidP="00206A08">
      <w:pPr>
        <w:pStyle w:val="Podtitul"/>
        <w:spacing w:before="0" w:after="0"/>
        <w:rPr>
          <w:sz w:val="20"/>
          <w:szCs w:val="20"/>
        </w:rPr>
      </w:pPr>
    </w:p>
    <w:p w:rsidR="00CF0B28" w:rsidRPr="00542012" w:rsidRDefault="00CF0B28" w:rsidP="00CF0B28">
      <w:pPr>
        <w:suppressAutoHyphens/>
        <w:spacing w:line="228" w:lineRule="auto"/>
        <w:jc w:val="center"/>
        <w:textAlignment w:val="auto"/>
        <w:rPr>
          <w:rFonts w:asciiTheme="minorHAnsi" w:eastAsia="Times New Roman" w:hAnsiTheme="minorHAnsi" w:cs="Times New Roman"/>
          <w:b/>
          <w:sz w:val="18"/>
          <w:szCs w:val="18"/>
          <w:u w:val="single"/>
          <w:lang w:bidi="ar-SA"/>
        </w:rPr>
      </w:pPr>
      <w:r w:rsidRPr="00542012">
        <w:rPr>
          <w:rFonts w:asciiTheme="minorHAnsi" w:eastAsia="Times New Roman" w:hAnsiTheme="minorHAnsi" w:cs="Times New Roman"/>
          <w:b/>
          <w:sz w:val="18"/>
          <w:szCs w:val="18"/>
          <w:u w:val="single"/>
          <w:lang w:bidi="ar-SA"/>
        </w:rPr>
        <w:t>Doplňující informace k čištění komunikací</w:t>
      </w:r>
      <w:r w:rsidR="003E3CAB" w:rsidRPr="00542012">
        <w:rPr>
          <w:rFonts w:asciiTheme="minorHAnsi" w:eastAsia="Times New Roman" w:hAnsiTheme="minorHAnsi" w:cs="Times New Roman"/>
          <w:b/>
          <w:sz w:val="18"/>
          <w:szCs w:val="18"/>
          <w:u w:val="single"/>
          <w:lang w:bidi="ar-SA"/>
        </w:rPr>
        <w:t xml:space="preserve"> </w:t>
      </w:r>
      <w:r w:rsidR="003E3CAB" w:rsidRPr="00E2020B">
        <w:rPr>
          <w:rFonts w:asciiTheme="minorHAnsi" w:eastAsia="Times New Roman" w:hAnsiTheme="minorHAnsi" w:cs="Times New Roman"/>
          <w:b/>
          <w:sz w:val="18"/>
          <w:szCs w:val="18"/>
          <w:u w:val="single"/>
          <w:lang w:bidi="ar-SA"/>
        </w:rPr>
        <w:t>(uvedeno rovněž v ZD)</w:t>
      </w:r>
    </w:p>
    <w:p w:rsidR="001E703C" w:rsidRDefault="00E2020B" w:rsidP="001E703C">
      <w:pPr>
        <w:pStyle w:val="WW-Zkladntext3"/>
        <w:jc w:val="both"/>
        <w:rPr>
          <w:rFonts w:ascii="Calibri" w:hAnsi="Calibri"/>
          <w:b/>
          <w:sz w:val="18"/>
          <w:szCs w:val="18"/>
        </w:rPr>
      </w:pPr>
      <w:r w:rsidRPr="00E2020B">
        <w:rPr>
          <w:rFonts w:ascii="Calibri" w:hAnsi="Calibri"/>
          <w:b/>
          <w:sz w:val="18"/>
          <w:szCs w:val="18"/>
        </w:rPr>
        <w:t>Čištění ve dnech pracovního klidu:</w:t>
      </w:r>
    </w:p>
    <w:p w:rsidR="001E703C" w:rsidRPr="001E703C" w:rsidRDefault="00E2020B" w:rsidP="001E703C">
      <w:pPr>
        <w:pStyle w:val="WW-Zkladntext3"/>
        <w:numPr>
          <w:ilvl w:val="0"/>
          <w:numId w:val="10"/>
        </w:numPr>
        <w:jc w:val="both"/>
        <w:textAlignment w:val="auto"/>
        <w:rPr>
          <w:rFonts w:ascii="Calibri" w:hAnsi="Calibri"/>
          <w:sz w:val="18"/>
          <w:szCs w:val="18"/>
        </w:rPr>
      </w:pPr>
      <w:r w:rsidRPr="001E703C">
        <w:rPr>
          <w:rFonts w:ascii="Calibri" w:hAnsi="Calibri"/>
          <w:color w:val="auto"/>
          <w:sz w:val="18"/>
          <w:szCs w:val="18"/>
        </w:rPr>
        <w:t>objednateli bude k té které jednotkové ceně účtováno 30% za práce provedené ve dnech pracovního klidu a státních svátcích</w:t>
      </w:r>
    </w:p>
    <w:p w:rsidR="001E703C" w:rsidRDefault="00E2020B" w:rsidP="001E703C">
      <w:pPr>
        <w:pStyle w:val="WW-Zkladntext3"/>
        <w:numPr>
          <w:ilvl w:val="0"/>
          <w:numId w:val="10"/>
        </w:numPr>
        <w:jc w:val="both"/>
        <w:textAlignment w:val="auto"/>
        <w:rPr>
          <w:rFonts w:ascii="Calibri" w:hAnsi="Calibri"/>
          <w:sz w:val="18"/>
          <w:szCs w:val="18"/>
        </w:rPr>
      </w:pPr>
      <w:r w:rsidRPr="001E703C">
        <w:rPr>
          <w:rFonts w:ascii="Calibri" w:hAnsi="Calibri"/>
          <w:sz w:val="18"/>
          <w:szCs w:val="18"/>
        </w:rPr>
        <w:t>30% k jednotkové ceně bude možno účtovat pouze u bodů 1. – 4., 7., 8., 10., 12. a 13.</w:t>
      </w:r>
    </w:p>
    <w:p w:rsidR="00E2020B" w:rsidRPr="001E703C" w:rsidRDefault="00E2020B" w:rsidP="001E703C">
      <w:pPr>
        <w:pStyle w:val="WW-Zkladntext3"/>
        <w:numPr>
          <w:ilvl w:val="0"/>
          <w:numId w:val="10"/>
        </w:numPr>
        <w:jc w:val="both"/>
        <w:textAlignment w:val="auto"/>
        <w:rPr>
          <w:rFonts w:ascii="Calibri" w:hAnsi="Calibri"/>
          <w:sz w:val="18"/>
          <w:szCs w:val="18"/>
        </w:rPr>
      </w:pPr>
      <w:r w:rsidRPr="001E703C">
        <w:rPr>
          <w:rFonts w:ascii="Calibri" w:hAnsi="Calibri"/>
          <w:sz w:val="18"/>
          <w:szCs w:val="18"/>
        </w:rPr>
        <w:t xml:space="preserve">přepokládaný objem prací ve dnech pracovního klidu a státních svátcích za 1 rok: </w:t>
      </w:r>
    </w:p>
    <w:p w:rsidR="001E703C" w:rsidRDefault="001E703C" w:rsidP="001E703C">
      <w:pPr>
        <w:pStyle w:val="WW-Zkladntext3"/>
        <w:ind w:left="1080"/>
        <w:jc w:val="both"/>
        <w:textAlignment w:val="auto"/>
        <w:rPr>
          <w:rFonts w:ascii="Calibri" w:hAnsi="Calibri"/>
          <w:sz w:val="18"/>
          <w:szCs w:val="18"/>
        </w:rPr>
      </w:pP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</w:tblGrid>
      <w:tr w:rsidR="000021E4" w:rsidTr="005A686C">
        <w:tc>
          <w:tcPr>
            <w:tcW w:w="5103" w:type="dxa"/>
          </w:tcPr>
          <w:p w:rsidR="000021E4" w:rsidRDefault="000021E4" w:rsidP="00046A03">
            <w:pPr>
              <w:pStyle w:val="WW-Zkladntext3"/>
              <w:numPr>
                <w:ilvl w:val="3"/>
                <w:numId w:val="8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strojní čištění komunikací</w:t>
            </w:r>
            <w:r w:rsidR="0017277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10 km</w:t>
            </w:r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3"/>
                <w:numId w:val="8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strojní čištění ploch křižovatek/parkovišť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5 000 m</w:t>
            </w:r>
            <w:r w:rsidRPr="005A686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3"/>
                <w:numId w:val="8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strojní čištění chodníků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5 km</w:t>
            </w:r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3"/>
                <w:numId w:val="8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ruční čištění chodníků: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bkm</w:t>
            </w:r>
            <w:proofErr w:type="spellEnd"/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0"/>
                <w:numId w:val="13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blokové čištění komunikací: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 xml:space="preserve">6 </w:t>
            </w:r>
            <w:proofErr w:type="spellStart"/>
            <w:r w:rsidRPr="00E2020B">
              <w:rPr>
                <w:rFonts w:ascii="Calibri" w:hAnsi="Calibri"/>
                <w:sz w:val="18"/>
                <w:szCs w:val="18"/>
              </w:rPr>
              <w:t>bkm</w:t>
            </w:r>
            <w:proofErr w:type="spellEnd"/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0"/>
                <w:numId w:val="13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blokové čištění ploch parkovišť: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10 000  m</w:t>
            </w:r>
            <w:r w:rsidRPr="005A686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0"/>
                <w:numId w:val="14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>kropení komunikací: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E2020B">
              <w:rPr>
                <w:rFonts w:ascii="Calibri" w:hAnsi="Calibri"/>
                <w:sz w:val="18"/>
                <w:szCs w:val="18"/>
              </w:rPr>
              <w:t xml:space="preserve">300 </w:t>
            </w:r>
            <w:proofErr w:type="spellStart"/>
            <w:r w:rsidRPr="00E2020B">
              <w:rPr>
                <w:rFonts w:ascii="Calibri" w:hAnsi="Calibri"/>
                <w:sz w:val="18"/>
                <w:szCs w:val="18"/>
              </w:rPr>
              <w:t>bkm</w:t>
            </w:r>
            <w:proofErr w:type="spellEnd"/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0"/>
                <w:numId w:val="15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B48C4">
              <w:rPr>
                <w:rFonts w:ascii="Calibri" w:hAnsi="Calibri"/>
                <w:sz w:val="18"/>
                <w:szCs w:val="18"/>
              </w:rPr>
              <w:t>odstranění následků mimořádné/nepředvídatelné  události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B48C4">
              <w:rPr>
                <w:rFonts w:ascii="Calibri" w:hAnsi="Calibri"/>
                <w:sz w:val="18"/>
                <w:szCs w:val="18"/>
              </w:rPr>
              <w:t>1000 m</w:t>
            </w:r>
            <w:r w:rsidRPr="005A686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0021E4" w:rsidTr="005A686C">
        <w:tc>
          <w:tcPr>
            <w:tcW w:w="5103" w:type="dxa"/>
          </w:tcPr>
          <w:p w:rsidR="000021E4" w:rsidRDefault="0017277D" w:rsidP="00046A03">
            <w:pPr>
              <w:pStyle w:val="WW-Zkladntext3"/>
              <w:numPr>
                <w:ilvl w:val="0"/>
                <w:numId w:val="15"/>
              </w:numPr>
              <w:ind w:left="317"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B48C4">
              <w:rPr>
                <w:rFonts w:ascii="Calibri" w:hAnsi="Calibri"/>
                <w:sz w:val="18"/>
                <w:szCs w:val="18"/>
              </w:rPr>
              <w:t>úklid komunikace po zásahu HZS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021E4" w:rsidRDefault="005A686C" w:rsidP="005A686C">
            <w:pPr>
              <w:pStyle w:val="WW-Zkladntext3"/>
              <w:jc w:val="right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B48C4">
              <w:rPr>
                <w:rFonts w:ascii="Calibri" w:hAnsi="Calibri"/>
                <w:sz w:val="18"/>
                <w:szCs w:val="18"/>
              </w:rPr>
              <w:t>30 zásahů</w:t>
            </w:r>
          </w:p>
        </w:tc>
      </w:tr>
    </w:tbl>
    <w:p w:rsidR="001E703C" w:rsidRDefault="001E703C" w:rsidP="001E703C">
      <w:pPr>
        <w:pStyle w:val="WW-Zkladntext3"/>
        <w:ind w:left="1080"/>
        <w:jc w:val="both"/>
        <w:textAlignment w:val="auto"/>
        <w:rPr>
          <w:rFonts w:ascii="Calibri" w:hAnsi="Calibri"/>
          <w:sz w:val="18"/>
          <w:szCs w:val="18"/>
        </w:rPr>
      </w:pPr>
    </w:p>
    <w:p w:rsidR="00E2020B" w:rsidRPr="00E2020B" w:rsidRDefault="00E2020B" w:rsidP="00E2020B">
      <w:pPr>
        <w:pStyle w:val="WW-Zkladntext3"/>
        <w:jc w:val="both"/>
        <w:rPr>
          <w:rFonts w:ascii="Calibri" w:hAnsi="Calibri"/>
          <w:b/>
          <w:sz w:val="18"/>
          <w:szCs w:val="18"/>
        </w:rPr>
      </w:pPr>
      <w:r w:rsidRPr="00E2020B">
        <w:rPr>
          <w:rFonts w:ascii="Calibri" w:hAnsi="Calibri"/>
          <w:b/>
          <w:sz w:val="18"/>
          <w:szCs w:val="18"/>
        </w:rPr>
        <w:t xml:space="preserve">Upozornění:   </w:t>
      </w:r>
    </w:p>
    <w:p w:rsidR="00E2020B" w:rsidRDefault="00E2020B" w:rsidP="00E2020B">
      <w:pPr>
        <w:pStyle w:val="WW-Zkladntext3"/>
        <w:numPr>
          <w:ilvl w:val="0"/>
          <w:numId w:val="7"/>
        </w:numPr>
        <w:jc w:val="both"/>
        <w:textAlignment w:val="auto"/>
        <w:rPr>
          <w:rFonts w:ascii="Calibri" w:hAnsi="Calibri"/>
          <w:sz w:val="18"/>
          <w:szCs w:val="18"/>
        </w:rPr>
      </w:pPr>
      <w:r w:rsidRPr="00E2020B">
        <w:rPr>
          <w:rFonts w:ascii="Calibri" w:hAnsi="Calibri"/>
          <w:sz w:val="18"/>
          <w:szCs w:val="18"/>
        </w:rPr>
        <w:t xml:space="preserve">k činnosti v bodu 9: při čištění dešťových vpustí ve dnech pracovního klidu a státních svátcích není možno účtovat k této jednotce navýšení ceny o 30%  </w:t>
      </w:r>
    </w:p>
    <w:p w:rsidR="003E3CAB" w:rsidRPr="00E2020B" w:rsidRDefault="00E2020B" w:rsidP="00E2020B">
      <w:pPr>
        <w:pStyle w:val="WW-Zkladntext3"/>
        <w:numPr>
          <w:ilvl w:val="0"/>
          <w:numId w:val="7"/>
        </w:numPr>
        <w:jc w:val="both"/>
        <w:textAlignment w:val="auto"/>
        <w:rPr>
          <w:rFonts w:ascii="Calibri" w:hAnsi="Calibri"/>
          <w:sz w:val="18"/>
          <w:szCs w:val="18"/>
        </w:rPr>
      </w:pPr>
      <w:r w:rsidRPr="00E2020B">
        <w:rPr>
          <w:rFonts w:ascii="Calibri" w:hAnsi="Calibri"/>
          <w:sz w:val="18"/>
          <w:szCs w:val="18"/>
        </w:rPr>
        <w:t>k činnosti v bodu 11: v ceně za jednotku bude již zohledněna skutečnost, že objednatel předesílá, že tyto práce budou prováděny ve dnech pracovního</w:t>
      </w:r>
      <w:r w:rsidR="008A2D46">
        <w:rPr>
          <w:rFonts w:ascii="Calibri" w:hAnsi="Calibri"/>
          <w:sz w:val="18"/>
          <w:szCs w:val="18"/>
        </w:rPr>
        <w:t xml:space="preserve"> klidu </w:t>
      </w:r>
      <w:r w:rsidR="008A2D46" w:rsidRPr="008A2D46">
        <w:rPr>
          <w:rFonts w:ascii="Calibri" w:hAnsi="Calibri"/>
          <w:sz w:val="18"/>
          <w:szCs w:val="18"/>
        </w:rPr>
        <w:t>a státních svátcích (nebude možné účtovat k této jednotce navýšení ceny o 30%)</w:t>
      </w:r>
    </w:p>
    <w:p w:rsidR="00E2020B" w:rsidRPr="00E2020B" w:rsidRDefault="00E2020B" w:rsidP="00E2020B">
      <w:pPr>
        <w:pStyle w:val="WW-Zkladntext3"/>
        <w:ind w:left="720"/>
        <w:jc w:val="both"/>
        <w:textAlignment w:val="auto"/>
        <w:rPr>
          <w:rFonts w:asciiTheme="minorHAnsi" w:hAnsiTheme="minorHAnsi"/>
          <w:sz w:val="18"/>
          <w:szCs w:val="18"/>
        </w:rPr>
      </w:pPr>
    </w:p>
    <w:p w:rsidR="003E3CAB" w:rsidRPr="00542012" w:rsidRDefault="003E3CAB" w:rsidP="003E3CAB">
      <w:pPr>
        <w:pStyle w:val="WW-Zkladntext3"/>
        <w:jc w:val="center"/>
        <w:rPr>
          <w:rFonts w:asciiTheme="minorHAnsi" w:hAnsiTheme="minorHAnsi"/>
          <w:b/>
          <w:color w:val="7030A0"/>
          <w:sz w:val="18"/>
          <w:szCs w:val="18"/>
          <w:u w:val="single"/>
        </w:rPr>
      </w:pPr>
      <w:r w:rsidRPr="00542012">
        <w:rPr>
          <w:rFonts w:asciiTheme="minorHAnsi" w:hAnsiTheme="minorHAnsi"/>
          <w:b/>
          <w:sz w:val="18"/>
          <w:szCs w:val="18"/>
          <w:u w:val="single"/>
        </w:rPr>
        <w:t xml:space="preserve">Doplňující informace k zimní údržbě </w:t>
      </w:r>
      <w:r w:rsidRPr="00E2020B">
        <w:rPr>
          <w:rFonts w:asciiTheme="minorHAnsi" w:hAnsiTheme="minorHAnsi"/>
          <w:b/>
          <w:color w:val="auto"/>
          <w:sz w:val="18"/>
          <w:szCs w:val="18"/>
          <w:u w:val="single"/>
        </w:rPr>
        <w:t>(uvedeno rovněž v ZD)</w:t>
      </w:r>
    </w:p>
    <w:p w:rsidR="003E3CAB" w:rsidRPr="00542012" w:rsidRDefault="003E3CAB" w:rsidP="003E3CAB">
      <w:pPr>
        <w:pStyle w:val="WW-Zkladntext3"/>
        <w:jc w:val="both"/>
        <w:rPr>
          <w:rFonts w:asciiTheme="minorHAnsi" w:hAnsiTheme="minorHAnsi"/>
          <w:b/>
          <w:sz w:val="18"/>
          <w:szCs w:val="18"/>
        </w:rPr>
      </w:pPr>
      <w:r w:rsidRPr="00542012">
        <w:rPr>
          <w:rFonts w:asciiTheme="minorHAnsi" w:hAnsiTheme="minorHAnsi"/>
          <w:b/>
          <w:sz w:val="18"/>
          <w:szCs w:val="18"/>
        </w:rPr>
        <w:t>Poznámka k</w:t>
      </w:r>
      <w:r w:rsidR="00542012" w:rsidRPr="00542012">
        <w:rPr>
          <w:rFonts w:asciiTheme="minorHAnsi" w:hAnsiTheme="minorHAnsi"/>
          <w:b/>
          <w:sz w:val="18"/>
          <w:szCs w:val="18"/>
        </w:rPr>
        <w:t> </w:t>
      </w:r>
      <w:r w:rsidR="00542012" w:rsidRPr="00E2020B">
        <w:rPr>
          <w:rFonts w:asciiTheme="minorHAnsi" w:hAnsiTheme="minorHAnsi"/>
          <w:b/>
          <w:color w:val="auto"/>
          <w:sz w:val="18"/>
          <w:szCs w:val="18"/>
        </w:rPr>
        <w:t>činnostem uvedených pod čísly</w:t>
      </w:r>
      <w:r w:rsidR="00542012" w:rsidRPr="00542012">
        <w:rPr>
          <w:rFonts w:asciiTheme="minorHAnsi" w:hAnsiTheme="minorHAnsi"/>
          <w:b/>
          <w:color w:val="7030A0"/>
          <w:sz w:val="18"/>
          <w:szCs w:val="18"/>
        </w:rPr>
        <w:t xml:space="preserve"> </w:t>
      </w:r>
      <w:r w:rsidRPr="00542012">
        <w:rPr>
          <w:rFonts w:asciiTheme="minorHAnsi" w:hAnsiTheme="minorHAnsi"/>
          <w:b/>
          <w:sz w:val="18"/>
          <w:szCs w:val="18"/>
        </w:rPr>
        <w:t>2</w:t>
      </w:r>
      <w:r w:rsidRPr="000B48C4">
        <w:rPr>
          <w:rFonts w:asciiTheme="minorHAnsi" w:hAnsiTheme="minorHAnsi"/>
          <w:b/>
          <w:sz w:val="18"/>
          <w:szCs w:val="18"/>
        </w:rPr>
        <w:t xml:space="preserve">. – </w:t>
      </w:r>
      <w:r w:rsidR="00E2020B" w:rsidRPr="000B48C4">
        <w:rPr>
          <w:rFonts w:asciiTheme="minorHAnsi" w:hAnsiTheme="minorHAnsi"/>
          <w:b/>
          <w:sz w:val="18"/>
          <w:szCs w:val="18"/>
        </w:rPr>
        <w:t>8</w:t>
      </w:r>
      <w:r w:rsidRPr="000B48C4">
        <w:rPr>
          <w:rFonts w:asciiTheme="minorHAnsi" w:hAnsiTheme="minorHAnsi"/>
          <w:b/>
          <w:sz w:val="18"/>
          <w:szCs w:val="18"/>
        </w:rPr>
        <w:t>.</w:t>
      </w:r>
    </w:p>
    <w:p w:rsidR="003E3CAB" w:rsidRPr="00542012" w:rsidRDefault="003E3CAB" w:rsidP="003E3CAB">
      <w:pPr>
        <w:pStyle w:val="WW-Zkladntext3"/>
        <w:jc w:val="both"/>
        <w:rPr>
          <w:rFonts w:asciiTheme="minorHAnsi" w:hAnsiTheme="minorHAnsi"/>
          <w:sz w:val="18"/>
          <w:szCs w:val="18"/>
        </w:rPr>
      </w:pPr>
      <w:r w:rsidRPr="00542012">
        <w:rPr>
          <w:rFonts w:asciiTheme="minorHAnsi" w:hAnsiTheme="minorHAnsi"/>
          <w:sz w:val="18"/>
          <w:szCs w:val="18"/>
        </w:rPr>
        <w:t>Zajištění zimní údržby místních a případně účelových komunikací na území města v souladu s požadavky zákona č. 13/1997 Sb., o pozemních komunikacích v platném znění, a vyhlášky č. 104/1997 Sb., kterou se provádí zákon o pozemních komunikacích a v souladu se stanoveným plánem zimní údržby, který tvoří přílohu č. 7 zadávací dokumentace.</w:t>
      </w:r>
    </w:p>
    <w:p w:rsidR="003E3CAB" w:rsidRPr="00C260A4" w:rsidRDefault="00CF0B28" w:rsidP="00CF0B28">
      <w:pPr>
        <w:suppressAutoHyphens/>
        <w:spacing w:line="228" w:lineRule="auto"/>
        <w:jc w:val="both"/>
        <w:textAlignment w:val="auto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3E3CAB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  </w:t>
      </w:r>
    </w:p>
    <w:p w:rsidR="00E61B43" w:rsidRPr="00A273E7" w:rsidRDefault="006F0B6C">
      <w:pPr>
        <w:pStyle w:val="Nzev"/>
        <w:tabs>
          <w:tab w:val="left" w:pos="360"/>
        </w:tabs>
        <w:spacing w:line="228" w:lineRule="auto"/>
        <w:jc w:val="left"/>
        <w:rPr>
          <w:rFonts w:asciiTheme="minorHAnsi" w:hAnsiTheme="minorHAnsi" w:cs="Arial Narrow"/>
          <w:bCs w:val="0"/>
          <w:sz w:val="22"/>
          <w:szCs w:val="22"/>
          <w:u w:val="single"/>
        </w:rPr>
      </w:pPr>
      <w:r w:rsidRPr="00A273E7">
        <w:rPr>
          <w:rFonts w:asciiTheme="minorHAnsi" w:hAnsiTheme="minorHAnsi" w:cs="Arial Narrow"/>
          <w:bCs w:val="0"/>
          <w:sz w:val="22"/>
          <w:szCs w:val="22"/>
          <w:u w:val="single"/>
        </w:rPr>
        <w:t>Další pokyny k zpracování nabídkové ceny</w:t>
      </w:r>
    </w:p>
    <w:p w:rsidR="00E61B43" w:rsidRDefault="000B48C4" w:rsidP="008D0B93">
      <w:pPr>
        <w:pStyle w:val="Smlouva-slo"/>
        <w:numPr>
          <w:ilvl w:val="1"/>
          <w:numId w:val="2"/>
        </w:numPr>
        <w:spacing w:before="0" w:line="228" w:lineRule="auto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Dodavatel</w:t>
      </w:r>
      <w:r w:rsidR="006F0B6C" w:rsidRPr="00A273E7">
        <w:rPr>
          <w:rFonts w:asciiTheme="minorHAnsi" w:hAnsiTheme="minorHAnsi" w:cs="Arial Narrow"/>
          <w:sz w:val="22"/>
          <w:szCs w:val="22"/>
        </w:rPr>
        <w:t xml:space="preserve"> je povinen zajistit si na vlastní náklady vhodný zdroj vody, používaný k plnění dle této smlouvy. Kvalita vody musí odpovídat požadavkům na jakost vody pro koupaliště ve volné přírodě </w:t>
      </w:r>
      <w:r w:rsidR="006F0B6C" w:rsidRPr="00A273E7">
        <w:rPr>
          <w:rFonts w:asciiTheme="minorHAnsi" w:hAnsiTheme="minorHAnsi" w:cs="Arial Narrow"/>
          <w:sz w:val="22"/>
          <w:szCs w:val="22"/>
          <w:shd w:val="clear" w:color="auto" w:fill="FFFFFF"/>
        </w:rPr>
        <w:t>(vyhláška č. 135/2004 Sb., v platném znění)</w:t>
      </w:r>
      <w:r w:rsidR="006F0B6C" w:rsidRPr="00A273E7">
        <w:rPr>
          <w:rFonts w:asciiTheme="minorHAnsi" w:hAnsiTheme="minorHAnsi" w:cs="Arial Narrow"/>
          <w:sz w:val="22"/>
          <w:szCs w:val="22"/>
        </w:rPr>
        <w:t xml:space="preserve">. Zhotovitel ručí za kvalitu jím používané vody po celou dobu platnosti smlouvy.  </w:t>
      </w:r>
    </w:p>
    <w:p w:rsidR="00E2020B" w:rsidRPr="000B48C4" w:rsidRDefault="00E2020B" w:rsidP="00E2020B">
      <w:pPr>
        <w:pStyle w:val="WW-Zkladntext3"/>
        <w:numPr>
          <w:ilvl w:val="0"/>
          <w:numId w:val="2"/>
        </w:numPr>
        <w:jc w:val="both"/>
        <w:textAlignment w:val="auto"/>
        <w:rPr>
          <w:rFonts w:ascii="Calibri" w:hAnsi="Calibri"/>
          <w:sz w:val="22"/>
          <w:szCs w:val="22"/>
        </w:rPr>
      </w:pPr>
      <w:r w:rsidRPr="000B48C4">
        <w:rPr>
          <w:rFonts w:ascii="Calibri" w:hAnsi="Calibri" w:cs="Arial Narrow"/>
          <w:sz w:val="22"/>
          <w:szCs w:val="22"/>
        </w:rPr>
        <w:t xml:space="preserve">Dodavatel je při zimní údržbě komunikací </w:t>
      </w:r>
      <w:r w:rsidRPr="000B48C4">
        <w:rPr>
          <w:rFonts w:ascii="Calibri" w:hAnsi="Calibri" w:cs="Arial Narrow"/>
          <w:color w:val="auto"/>
          <w:sz w:val="22"/>
          <w:szCs w:val="22"/>
        </w:rPr>
        <w:t>povinen</w:t>
      </w:r>
      <w:r w:rsidRPr="000B48C4">
        <w:rPr>
          <w:rFonts w:ascii="Calibri" w:hAnsi="Calibri" w:cs="Arial Narrow"/>
          <w:sz w:val="22"/>
          <w:szCs w:val="22"/>
        </w:rPr>
        <w:t xml:space="preserve"> používat pouze schválený inertní a chemický rozmrazovací materiál, určený vyhláškou č.104/1997 Sb., kterou se </w:t>
      </w:r>
      <w:r w:rsidRPr="000B48C4">
        <w:rPr>
          <w:rFonts w:ascii="Calibri" w:hAnsi="Calibri"/>
          <w:sz w:val="22"/>
          <w:szCs w:val="22"/>
        </w:rPr>
        <w:t xml:space="preserve">provádí zákon č.13/1997 Sb., o pozemních komunikacích, v platném znění. </w:t>
      </w:r>
    </w:p>
    <w:p w:rsidR="00E61B43" w:rsidRPr="000B48C4" w:rsidRDefault="006F0B6C" w:rsidP="000B48C4">
      <w:pPr>
        <w:pStyle w:val="Nzev"/>
        <w:numPr>
          <w:ilvl w:val="0"/>
          <w:numId w:val="2"/>
        </w:numPr>
        <w:tabs>
          <w:tab w:val="left" w:pos="360"/>
        </w:tabs>
        <w:spacing w:line="228" w:lineRule="auto"/>
        <w:jc w:val="both"/>
        <w:rPr>
          <w:rFonts w:asciiTheme="minorHAnsi" w:hAnsiTheme="minorHAnsi" w:cs="Arial Narrow"/>
          <w:b w:val="0"/>
          <w:bCs w:val="0"/>
          <w:sz w:val="22"/>
          <w:szCs w:val="22"/>
        </w:rPr>
      </w:pP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 xml:space="preserve">Položky nabídkového ceníku budou oceněny tak, že nabídnutá cena bude obsahovat veškeré náklady, které při dané činnosti vzniknou a které s ní přímo souvisí, případně takové náklady, které </w:t>
      </w:r>
      <w:r w:rsidR="000B48C4">
        <w:rPr>
          <w:rFonts w:asciiTheme="minorHAnsi" w:hAnsiTheme="minorHAnsi" w:cs="Arial Narrow"/>
          <w:b w:val="0"/>
          <w:bCs w:val="0"/>
          <w:sz w:val="22"/>
          <w:szCs w:val="22"/>
        </w:rPr>
        <w:t>dodavateli</w:t>
      </w: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 xml:space="preserve"> vzniknou </w:t>
      </w:r>
      <w:r w:rsidRPr="000B48C4">
        <w:rPr>
          <w:rFonts w:asciiTheme="minorHAnsi" w:hAnsiTheme="minorHAnsi" w:cs="Arial Narrow"/>
          <w:b w:val="0"/>
          <w:bCs w:val="0"/>
          <w:sz w:val="22"/>
          <w:szCs w:val="22"/>
        </w:rPr>
        <w:t>z povinností uložených smlouvou a oceňované položky se týkají.</w:t>
      </w:r>
    </w:p>
    <w:p w:rsidR="00E61B43" w:rsidRPr="00A273E7" w:rsidRDefault="006F0B6C" w:rsidP="00A319CE">
      <w:pPr>
        <w:pStyle w:val="Nzev"/>
        <w:numPr>
          <w:ilvl w:val="0"/>
          <w:numId w:val="2"/>
        </w:numPr>
        <w:tabs>
          <w:tab w:val="left" w:pos="360"/>
        </w:tabs>
        <w:spacing w:line="228" w:lineRule="auto"/>
        <w:jc w:val="both"/>
        <w:rPr>
          <w:rFonts w:asciiTheme="minorHAnsi" w:hAnsiTheme="minorHAnsi" w:cs="Arial Narrow"/>
          <w:b w:val="0"/>
          <w:bCs w:val="0"/>
          <w:sz w:val="22"/>
          <w:szCs w:val="22"/>
        </w:rPr>
      </w:pP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>Ceny budou stanoveny jako ceny nejvýše přípustné a platné až do doby ukončení platnosti smlouvy.</w:t>
      </w:r>
    </w:p>
    <w:p w:rsidR="00E61B43" w:rsidRPr="00A273E7" w:rsidRDefault="006F0B6C" w:rsidP="00A319CE">
      <w:pPr>
        <w:pStyle w:val="Nzev"/>
        <w:numPr>
          <w:ilvl w:val="0"/>
          <w:numId w:val="2"/>
        </w:numPr>
        <w:tabs>
          <w:tab w:val="left" w:pos="360"/>
        </w:tabs>
        <w:spacing w:line="228" w:lineRule="auto"/>
        <w:jc w:val="both"/>
        <w:rPr>
          <w:rFonts w:asciiTheme="minorHAnsi" w:hAnsiTheme="minorHAnsi" w:cs="Arial Narrow"/>
          <w:b w:val="0"/>
          <w:bCs w:val="0"/>
          <w:sz w:val="22"/>
          <w:szCs w:val="22"/>
        </w:rPr>
      </w:pP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 xml:space="preserve">Nabídnuté ceny musí krýt veškeré náklady </w:t>
      </w:r>
      <w:r w:rsidR="000B48C4">
        <w:rPr>
          <w:rFonts w:asciiTheme="minorHAnsi" w:hAnsiTheme="minorHAnsi" w:cs="Arial Narrow"/>
          <w:b w:val="0"/>
          <w:bCs w:val="0"/>
          <w:sz w:val="22"/>
          <w:szCs w:val="22"/>
        </w:rPr>
        <w:t>dodavatele</w:t>
      </w: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 xml:space="preserve"> nezbytné k řádné realizaci</w:t>
      </w:r>
      <w:r w:rsidR="00542012" w:rsidRPr="00A273E7">
        <w:rPr>
          <w:rFonts w:asciiTheme="minorHAnsi" w:hAnsiTheme="minorHAnsi" w:cs="Arial Narrow"/>
          <w:b w:val="0"/>
          <w:bCs w:val="0"/>
          <w:sz w:val="22"/>
          <w:szCs w:val="22"/>
        </w:rPr>
        <w:t xml:space="preserve"> díla, mj. předpokládaný možný </w:t>
      </w: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>nárůst cen v průběhu let 2016 – 2020.</w:t>
      </w:r>
    </w:p>
    <w:p w:rsidR="00E61B43" w:rsidRPr="00A273E7" w:rsidRDefault="006F0B6C" w:rsidP="00A319CE">
      <w:pPr>
        <w:pStyle w:val="Nzev"/>
        <w:numPr>
          <w:ilvl w:val="0"/>
          <w:numId w:val="2"/>
        </w:numPr>
        <w:tabs>
          <w:tab w:val="left" w:pos="360"/>
        </w:tabs>
        <w:spacing w:line="228" w:lineRule="auto"/>
        <w:jc w:val="both"/>
        <w:rPr>
          <w:rFonts w:asciiTheme="minorHAnsi" w:hAnsiTheme="minorHAnsi" w:cs="Arial Narrow"/>
          <w:b w:val="0"/>
          <w:bCs w:val="0"/>
          <w:sz w:val="22"/>
          <w:szCs w:val="22"/>
        </w:rPr>
      </w:pPr>
      <w:r w:rsidRPr="00A273E7">
        <w:rPr>
          <w:rFonts w:asciiTheme="minorHAnsi" w:hAnsiTheme="minorHAnsi" w:cs="Arial Narrow"/>
          <w:b w:val="0"/>
          <w:bCs w:val="0"/>
          <w:sz w:val="22"/>
          <w:szCs w:val="22"/>
        </w:rPr>
        <w:t>Uchazeč je odpovědný za to, že sazba daně z přidané hodnoty bude stanovena v souladu s platnými daňovými předpisy</w:t>
      </w:r>
    </w:p>
    <w:p w:rsidR="00E61B43" w:rsidRPr="00A273E7" w:rsidRDefault="00E61B43">
      <w:pPr>
        <w:pStyle w:val="Tlotextu"/>
        <w:tabs>
          <w:tab w:val="left" w:pos="360"/>
        </w:tabs>
        <w:spacing w:line="228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E61B43" w:rsidRPr="00A273E7" w:rsidRDefault="006F0B6C">
      <w:pPr>
        <w:pStyle w:val="Smlouva-slo"/>
        <w:tabs>
          <w:tab w:val="right" w:pos="5103"/>
        </w:tabs>
        <w:spacing w:before="0" w:line="228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A273E7">
        <w:rPr>
          <w:rFonts w:asciiTheme="minorHAnsi" w:hAnsiTheme="minorHAnsi" w:cs="Arial Narrow"/>
          <w:b/>
          <w:bCs/>
          <w:sz w:val="22"/>
          <w:szCs w:val="22"/>
        </w:rPr>
        <w:t xml:space="preserve">Předpokládané objemy prací jsou stanoveny na základě dosavadních zkušeností zadavatele a podle jeho odhadů. V žádném případě nelze předpokládaný rozsah výkonů považovat za závazný. Součástí </w:t>
      </w:r>
      <w:r w:rsidR="00A66BD9">
        <w:rPr>
          <w:rFonts w:asciiTheme="minorHAnsi" w:hAnsiTheme="minorHAnsi" w:cs="Arial Narrow"/>
          <w:b/>
          <w:bCs/>
          <w:sz w:val="22"/>
          <w:szCs w:val="22"/>
        </w:rPr>
        <w:t xml:space="preserve">(přílohou) </w:t>
      </w:r>
      <w:r w:rsidR="001C75E0">
        <w:rPr>
          <w:rFonts w:asciiTheme="minorHAnsi" w:hAnsiTheme="minorHAnsi" w:cs="Arial Narrow"/>
          <w:b/>
          <w:bCs/>
          <w:sz w:val="22"/>
          <w:szCs w:val="22"/>
        </w:rPr>
        <w:t>Rámcové s</w:t>
      </w:r>
      <w:r w:rsidRPr="00A273E7">
        <w:rPr>
          <w:rFonts w:asciiTheme="minorHAnsi" w:hAnsiTheme="minorHAnsi" w:cs="Arial Narrow"/>
          <w:b/>
          <w:bCs/>
          <w:sz w:val="22"/>
          <w:szCs w:val="22"/>
        </w:rPr>
        <w:t>mlouvy o dílo je jen ceník jednotkový.</w:t>
      </w:r>
    </w:p>
    <w:sectPr w:rsidR="00E61B43" w:rsidRPr="00A273E7">
      <w:headerReference w:type="default" r:id="rId9"/>
      <w:pgSz w:w="11906" w:h="16838"/>
      <w:pgMar w:top="1700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8D" w:rsidRDefault="0018568D">
      <w:r>
        <w:separator/>
      </w:r>
    </w:p>
  </w:endnote>
  <w:endnote w:type="continuationSeparator" w:id="0">
    <w:p w:rsidR="0018568D" w:rsidRDefault="001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8D" w:rsidRDefault="0018568D">
      <w:r>
        <w:separator/>
      </w:r>
    </w:p>
  </w:footnote>
  <w:footnote w:type="continuationSeparator" w:id="0">
    <w:p w:rsidR="0018568D" w:rsidRDefault="0018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43" w:rsidRDefault="006F0B6C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Příloha k zadávací dokumentaci k veřejné zakázce</w:t>
    </w:r>
  </w:p>
  <w:p w:rsidR="00E61B43" w:rsidRDefault="006F0B6C">
    <w:pPr>
      <w:pStyle w:val="Zhlav"/>
      <w:jc w:val="center"/>
      <w:rPr>
        <w:b/>
        <w:bCs/>
        <w:sz w:val="16"/>
        <w:szCs w:val="16"/>
      </w:rPr>
    </w:pPr>
    <w:r>
      <w:rPr>
        <w:sz w:val="16"/>
        <w:szCs w:val="16"/>
      </w:rPr>
      <w:t>„</w:t>
    </w:r>
    <w:r w:rsidR="00C7580E">
      <w:rPr>
        <w:b/>
        <w:bCs/>
        <w:sz w:val="16"/>
        <w:szCs w:val="16"/>
      </w:rPr>
      <w:t>Č</w:t>
    </w:r>
    <w:r>
      <w:rPr>
        <w:b/>
        <w:bCs/>
        <w:sz w:val="16"/>
        <w:szCs w:val="16"/>
      </w:rPr>
      <w:t>ištění a zimní údržba komunikací ve městě Teplice na období od 1.4.2016 do 31.3.2020“</w:t>
    </w:r>
  </w:p>
  <w:p w:rsidR="00E61B43" w:rsidRDefault="006F0B6C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Jednotkov</w:t>
    </w:r>
    <w:r w:rsidR="009717F8">
      <w:rPr>
        <w:sz w:val="16"/>
        <w:szCs w:val="16"/>
      </w:rPr>
      <w:t>ý ceník a ceník předpokládaného</w:t>
    </w:r>
    <w:r>
      <w:rPr>
        <w:sz w:val="16"/>
        <w:szCs w:val="16"/>
      </w:rPr>
      <w:t xml:space="preserve"> objemu prací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B5947792"/>
    <w:name w:val="WW8Num3"/>
    <w:lvl w:ilvl="0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color w:val="auto"/>
        <w:sz w:val="20"/>
        <w:u w:color="FFFFFF" w:themeColor="background1"/>
        <w:shd w:val="clear" w:color="auto" w:fill="FFFF99"/>
      </w:rPr>
    </w:lvl>
  </w:abstractNum>
  <w:abstractNum w:abstractNumId="1">
    <w:nsid w:val="069B2897"/>
    <w:multiLevelType w:val="hybridMultilevel"/>
    <w:tmpl w:val="CBE6D728"/>
    <w:lvl w:ilvl="0" w:tplc="A8F2BC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3774B4C0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EF25D9"/>
    <w:multiLevelType w:val="multilevel"/>
    <w:tmpl w:val="5922D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397734C"/>
    <w:multiLevelType w:val="hybridMultilevel"/>
    <w:tmpl w:val="36F0DD86"/>
    <w:lvl w:ilvl="0" w:tplc="EEFE3186">
      <w:start w:val="7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4214"/>
    <w:multiLevelType w:val="multilevel"/>
    <w:tmpl w:val="5F047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0F3579"/>
    <w:multiLevelType w:val="hybridMultilevel"/>
    <w:tmpl w:val="412C88EC"/>
    <w:lvl w:ilvl="0" w:tplc="FA705BA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7064EB"/>
    <w:multiLevelType w:val="hybridMultilevel"/>
    <w:tmpl w:val="B95CB43A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DC5"/>
    <w:multiLevelType w:val="hybridMultilevel"/>
    <w:tmpl w:val="259C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64826"/>
    <w:multiLevelType w:val="hybridMultilevel"/>
    <w:tmpl w:val="C8C4C214"/>
    <w:lvl w:ilvl="0" w:tplc="18D062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A7CE4"/>
    <w:multiLevelType w:val="multilevel"/>
    <w:tmpl w:val="F0741B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0">
    <w:nsid w:val="74A531E8"/>
    <w:multiLevelType w:val="hybridMultilevel"/>
    <w:tmpl w:val="7CEAACF4"/>
    <w:lvl w:ilvl="0" w:tplc="4B88074A">
      <w:start w:val="10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71191"/>
    <w:multiLevelType w:val="hybridMultilevel"/>
    <w:tmpl w:val="1D6AB66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14531"/>
    <w:multiLevelType w:val="hybridMultilevel"/>
    <w:tmpl w:val="8B48BDDE"/>
    <w:lvl w:ilvl="0" w:tplc="B59477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6000"/>
    <w:multiLevelType w:val="hybridMultilevel"/>
    <w:tmpl w:val="44C6E404"/>
    <w:lvl w:ilvl="0" w:tplc="F306D30C">
      <w:start w:val="12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F36A5"/>
    <w:multiLevelType w:val="multilevel"/>
    <w:tmpl w:val="162CF3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B43"/>
    <w:rsid w:val="000021E4"/>
    <w:rsid w:val="0002695F"/>
    <w:rsid w:val="00030238"/>
    <w:rsid w:val="00046A03"/>
    <w:rsid w:val="00094F5E"/>
    <w:rsid w:val="000B48C4"/>
    <w:rsid w:val="000D5AC1"/>
    <w:rsid w:val="000F5234"/>
    <w:rsid w:val="00101FC3"/>
    <w:rsid w:val="00102617"/>
    <w:rsid w:val="00115EBF"/>
    <w:rsid w:val="0017277D"/>
    <w:rsid w:val="00183B17"/>
    <w:rsid w:val="0018568D"/>
    <w:rsid w:val="00191573"/>
    <w:rsid w:val="00191F3B"/>
    <w:rsid w:val="001C75E0"/>
    <w:rsid w:val="001E703C"/>
    <w:rsid w:val="00206A08"/>
    <w:rsid w:val="002275BF"/>
    <w:rsid w:val="00251361"/>
    <w:rsid w:val="002919A0"/>
    <w:rsid w:val="00296E3F"/>
    <w:rsid w:val="003E3CAB"/>
    <w:rsid w:val="00461B4B"/>
    <w:rsid w:val="00542012"/>
    <w:rsid w:val="005620F2"/>
    <w:rsid w:val="005A686C"/>
    <w:rsid w:val="005C2DA0"/>
    <w:rsid w:val="006074D5"/>
    <w:rsid w:val="0066644D"/>
    <w:rsid w:val="006F0B6C"/>
    <w:rsid w:val="00781791"/>
    <w:rsid w:val="007C6AE9"/>
    <w:rsid w:val="00843AB8"/>
    <w:rsid w:val="00846062"/>
    <w:rsid w:val="008538AB"/>
    <w:rsid w:val="0089605F"/>
    <w:rsid w:val="008A2D46"/>
    <w:rsid w:val="008B44BE"/>
    <w:rsid w:val="008D0B93"/>
    <w:rsid w:val="008E13BD"/>
    <w:rsid w:val="00971220"/>
    <w:rsid w:val="009717F8"/>
    <w:rsid w:val="00982C44"/>
    <w:rsid w:val="009B5981"/>
    <w:rsid w:val="009C2850"/>
    <w:rsid w:val="00A273E7"/>
    <w:rsid w:val="00A319CE"/>
    <w:rsid w:val="00A66BD9"/>
    <w:rsid w:val="00A94B09"/>
    <w:rsid w:val="00B32DE6"/>
    <w:rsid w:val="00BE6D4D"/>
    <w:rsid w:val="00C260A4"/>
    <w:rsid w:val="00C32EC1"/>
    <w:rsid w:val="00C44817"/>
    <w:rsid w:val="00C7580E"/>
    <w:rsid w:val="00CD2EB3"/>
    <w:rsid w:val="00CF0B28"/>
    <w:rsid w:val="00D2038D"/>
    <w:rsid w:val="00D67310"/>
    <w:rsid w:val="00DA0D97"/>
    <w:rsid w:val="00DD7AB1"/>
    <w:rsid w:val="00E2020B"/>
    <w:rsid w:val="00E61B43"/>
    <w:rsid w:val="00E96AAC"/>
    <w:rsid w:val="00EE0A81"/>
    <w:rsid w:val="00F85378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  <w:rPr>
      <w:color w:val="00000A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0">
    <w:name w:val="WW8Num3z0"/>
  </w:style>
  <w:style w:type="character" w:customStyle="1" w:styleId="ZpatChar">
    <w:name w:val="Zápatí Char"/>
    <w:basedOn w:val="Standardnpsmoodstavce"/>
    <w:link w:val="Zpat"/>
    <w:uiPriority w:val="99"/>
    <w:rsid w:val="00E12127"/>
    <w:rPr>
      <w:szCs w:val="21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1"/>
    <w:pPr>
      <w:suppressLineNumbers/>
    </w:pPr>
  </w:style>
  <w:style w:type="paragraph" w:styleId="Titulek">
    <w:name w:val="caption"/>
    <w:basedOn w:val="Normln1"/>
    <w:pPr>
      <w:suppressLineNumbers/>
      <w:spacing w:before="120" w:after="120"/>
    </w:pPr>
    <w:rPr>
      <w:i/>
      <w:iCs/>
    </w:rPr>
  </w:style>
  <w:style w:type="paragraph" w:customStyle="1" w:styleId="WW-Zkladntext3">
    <w:name w:val="WW-Základní text 3"/>
    <w:basedOn w:val="Normln1"/>
    <w:rPr>
      <w:szCs w:val="20"/>
    </w:rPr>
  </w:style>
  <w:style w:type="paragraph" w:styleId="Odstavecseseznamem">
    <w:name w:val="List Paragraph"/>
    <w:basedOn w:val="Normln1"/>
    <w:pPr>
      <w:ind w:left="708"/>
    </w:pPr>
  </w:style>
  <w:style w:type="paragraph" w:styleId="Nzev">
    <w:name w:val="Title"/>
    <w:basedOn w:val="Normln1"/>
    <w:next w:val="Podtitul"/>
    <w:pPr>
      <w:jc w:val="center"/>
    </w:pPr>
    <w:rPr>
      <w:b/>
      <w:bCs/>
      <w:sz w:val="32"/>
    </w:rPr>
  </w:style>
  <w:style w:type="paragraph" w:styleId="Podtitul">
    <w:name w:val="Subtitle"/>
    <w:basedOn w:val="Nadpis"/>
    <w:pPr>
      <w:jc w:val="center"/>
    </w:pPr>
    <w:rPr>
      <w:i/>
      <w:iCs/>
    </w:rPr>
  </w:style>
  <w:style w:type="paragraph" w:customStyle="1" w:styleId="WW-Prosttext">
    <w:name w:val="WW-Prostý text"/>
    <w:basedOn w:val="Normln1"/>
    <w:rPr>
      <w:rFonts w:ascii="Courier New" w:eastAsia="SimSun, 宋体" w:hAnsi="Courier New" w:cs="Courier New"/>
      <w:sz w:val="20"/>
      <w:szCs w:val="20"/>
    </w:rPr>
  </w:style>
  <w:style w:type="paragraph" w:customStyle="1" w:styleId="Smlouva-slo">
    <w:name w:val="Smlouva-číslo"/>
    <w:basedOn w:val="Normln1"/>
    <w:pPr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1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1"/>
    <w:pPr>
      <w:suppressLineNumbers/>
    </w:pPr>
  </w:style>
  <w:style w:type="paragraph" w:styleId="Zpat">
    <w:name w:val="footer"/>
    <w:basedOn w:val="Normln1"/>
    <w:link w:val="ZpatChar"/>
    <w:uiPriority w:val="99"/>
    <w:unhideWhenUsed/>
    <w:rsid w:val="00E12127"/>
    <w:pPr>
      <w:tabs>
        <w:tab w:val="center" w:pos="4536"/>
        <w:tab w:val="right" w:pos="9072"/>
      </w:tabs>
    </w:pPr>
    <w:rPr>
      <w:szCs w:val="21"/>
    </w:rPr>
  </w:style>
  <w:style w:type="paragraph" w:customStyle="1" w:styleId="Nadpistabulky">
    <w:name w:val="Nadpis tabulky"/>
    <w:basedOn w:val="Obsahtabulky"/>
  </w:style>
  <w:style w:type="numbering" w:customStyle="1" w:styleId="WW8Num8">
    <w:name w:val="WW8Num8"/>
  </w:style>
  <w:style w:type="numbering" w:customStyle="1" w:styleId="WW8Num3">
    <w:name w:val="WW8Num3"/>
  </w:style>
  <w:style w:type="character" w:customStyle="1" w:styleId="WW8Num4z4">
    <w:name w:val="WW8Num4z4"/>
    <w:rsid w:val="00E2020B"/>
  </w:style>
  <w:style w:type="table" w:styleId="Mkatabulky">
    <w:name w:val="Table Grid"/>
    <w:basedOn w:val="Normlntabulka"/>
    <w:uiPriority w:val="59"/>
    <w:rsid w:val="00002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EFD1-CE7D-4856-9554-256D660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Strejcovská Jana</dc:creator>
  <cp:lastModifiedBy>Roth Marek</cp:lastModifiedBy>
  <cp:revision>23</cp:revision>
  <cp:lastPrinted>2015-07-22T15:29:00Z</cp:lastPrinted>
  <dcterms:created xsi:type="dcterms:W3CDTF">2015-06-22T11:18:00Z</dcterms:created>
  <dcterms:modified xsi:type="dcterms:W3CDTF">2015-07-24T08:13:00Z</dcterms:modified>
  <dc:language>cs-CZ</dc:language>
</cp:coreProperties>
</file>