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02" w:rsidRDefault="00FA7602" w:rsidP="00653369">
      <w:pPr>
        <w:tabs>
          <w:tab w:val="left" w:pos="795"/>
          <w:tab w:val="center" w:pos="4536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45255" w:rsidRPr="00937B14" w:rsidRDefault="00937B14" w:rsidP="009D5D37">
      <w:pPr>
        <w:spacing w:line="240" w:lineRule="auto"/>
        <w:jc w:val="center"/>
        <w:rPr>
          <w:rFonts w:asciiTheme="minorHAnsi" w:hAnsiTheme="minorHAnsi" w:cs="Tahoma"/>
          <w:sz w:val="23"/>
          <w:szCs w:val="23"/>
        </w:rPr>
      </w:pPr>
      <w:r w:rsidRPr="00937B14">
        <w:rPr>
          <w:rFonts w:asciiTheme="minorHAnsi" w:hAnsiTheme="minorHAnsi" w:cs="Tahoma"/>
          <w:b/>
          <w:sz w:val="23"/>
          <w:szCs w:val="23"/>
        </w:rPr>
        <w:t xml:space="preserve">Dotaz zájemce a odpověď č. </w:t>
      </w:r>
      <w:r w:rsidR="002353D5">
        <w:rPr>
          <w:rFonts w:asciiTheme="minorHAnsi" w:hAnsiTheme="minorHAnsi" w:cs="Tahoma"/>
          <w:b/>
          <w:sz w:val="23"/>
          <w:szCs w:val="23"/>
        </w:rPr>
        <w:t>2</w:t>
      </w:r>
    </w:p>
    <w:p w:rsidR="009D5D37" w:rsidRPr="00937B14" w:rsidRDefault="009D5D37" w:rsidP="009D5D37">
      <w:pPr>
        <w:spacing w:line="240" w:lineRule="auto"/>
        <w:jc w:val="center"/>
        <w:rPr>
          <w:rFonts w:asciiTheme="minorHAnsi" w:hAnsiTheme="minorHAnsi" w:cs="Tahoma"/>
          <w:b/>
          <w:sz w:val="23"/>
          <w:szCs w:val="23"/>
        </w:rPr>
      </w:pPr>
      <w:r w:rsidRPr="00937B14">
        <w:rPr>
          <w:rFonts w:asciiTheme="minorHAnsi" w:hAnsiTheme="minorHAnsi" w:cs="Tahoma"/>
          <w:b/>
          <w:sz w:val="23"/>
          <w:szCs w:val="23"/>
        </w:rPr>
        <w:t>V</w:t>
      </w:r>
      <w:r w:rsidR="00A31E8C" w:rsidRPr="00937B14">
        <w:rPr>
          <w:rFonts w:asciiTheme="minorHAnsi" w:hAnsiTheme="minorHAnsi" w:cs="Tahoma"/>
          <w:b/>
          <w:sz w:val="23"/>
          <w:szCs w:val="23"/>
        </w:rPr>
        <w:t>eřejná zakázka:</w:t>
      </w:r>
    </w:p>
    <w:p w:rsidR="005C0F89" w:rsidRPr="00937B14" w:rsidRDefault="005C0F89" w:rsidP="005C0F89">
      <w:pPr>
        <w:jc w:val="center"/>
        <w:rPr>
          <w:rFonts w:asciiTheme="minorHAnsi" w:hAnsiTheme="minorHAnsi" w:cs="Tahoma"/>
          <w:b/>
          <w:sz w:val="23"/>
          <w:szCs w:val="23"/>
        </w:rPr>
      </w:pPr>
      <w:r w:rsidRPr="00937B14">
        <w:rPr>
          <w:rFonts w:asciiTheme="minorHAnsi" w:hAnsiTheme="minorHAnsi" w:cs="Tahoma"/>
          <w:b/>
          <w:sz w:val="23"/>
          <w:szCs w:val="23"/>
        </w:rPr>
        <w:t>„REINTEGRA CENTRUM - stavební úpravy a vnitřní přestavba budovy“</w:t>
      </w:r>
    </w:p>
    <w:p w:rsidR="00937B14" w:rsidRPr="00937B14" w:rsidRDefault="00FA75CB" w:rsidP="00937B14">
      <w:pPr>
        <w:shd w:val="clear" w:color="auto" w:fill="D9D9D9" w:themeFill="background1" w:themeFillShade="D9"/>
        <w:spacing w:after="0" w:line="20" w:lineRule="atLeast"/>
        <w:jc w:val="center"/>
        <w:rPr>
          <w:rFonts w:asciiTheme="minorHAnsi" w:hAnsiTheme="minorHAnsi" w:cs="Arial"/>
          <w:b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  <w:sz w:val="23"/>
          <w:szCs w:val="23"/>
        </w:rPr>
        <w:t>Kompletní a doslovný text dotazů</w:t>
      </w:r>
    </w:p>
    <w:p w:rsidR="00FA75CB" w:rsidRPr="00916188" w:rsidRDefault="00FA75CB" w:rsidP="00153CFA">
      <w:pPr>
        <w:spacing w:after="0"/>
        <w:rPr>
          <w:i/>
        </w:rPr>
      </w:pPr>
      <w:r w:rsidRPr="00916188">
        <w:rPr>
          <w:i/>
        </w:rPr>
        <w:t>Dobrý den,</w:t>
      </w:r>
    </w:p>
    <w:p w:rsidR="00FA75CB" w:rsidRPr="00916188" w:rsidRDefault="00FA75CB" w:rsidP="00153CFA">
      <w:pPr>
        <w:spacing w:after="0"/>
        <w:rPr>
          <w:i/>
        </w:rPr>
      </w:pPr>
      <w:r w:rsidRPr="00916188">
        <w:rPr>
          <w:i/>
        </w:rPr>
        <w:t>Po prostudování VV a PD mám dotazy: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>Jak mám ocenit položku 29? Uvádíte MJ – KPL když tyto položky se oceňují na ks.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>Jak mám ocenit položku 40? Uvádíte MJ – KPL když tyto položky se oceňují na m2.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 xml:space="preserve">Jak mám ocenit položku  80? Uvádíte MJ – KPL když tyto položky se oceňují na </w:t>
      </w:r>
      <w:proofErr w:type="spellStart"/>
      <w:r w:rsidRPr="00916188">
        <w:rPr>
          <w:i/>
        </w:rPr>
        <w:t>mb</w:t>
      </w:r>
      <w:proofErr w:type="spellEnd"/>
      <w:r w:rsidRPr="00916188">
        <w:rPr>
          <w:i/>
        </w:rPr>
        <w:t>.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>Jak mám ocenit položku 40? Uvádíte MJ – KPL když tyto položky se oceňují na ks.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 xml:space="preserve">Položky 91 a 92 jsou taktéž špatně. Jsou poptávány vč. bandáží a ty se oceňují </w:t>
      </w:r>
      <w:proofErr w:type="spellStart"/>
      <w:r w:rsidRPr="00916188">
        <w:rPr>
          <w:i/>
        </w:rPr>
        <w:t>mb</w:t>
      </w:r>
      <w:proofErr w:type="spellEnd"/>
      <w:r w:rsidRPr="00916188">
        <w:rPr>
          <w:i/>
        </w:rPr>
        <w:t>. Dodáte mi výkaz těchto bandáží?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 xml:space="preserve">Jak mám ocenit položku </w:t>
      </w:r>
      <w:proofErr w:type="gramStart"/>
      <w:r w:rsidRPr="00916188">
        <w:rPr>
          <w:i/>
        </w:rPr>
        <w:t>110,117,118 ? Uvádíte</w:t>
      </w:r>
      <w:proofErr w:type="gramEnd"/>
      <w:r w:rsidRPr="00916188">
        <w:rPr>
          <w:i/>
        </w:rPr>
        <w:t xml:space="preserve"> MJ – KPL když tyto položky se oceňují na HZS.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>Opravdu požadujete vymezit na zařízení staveniště pouze 50 m2</w:t>
      </w:r>
    </w:p>
    <w:p w:rsidR="00FA75CB" w:rsidRPr="00916188" w:rsidRDefault="00FA75CB" w:rsidP="00FA75CB">
      <w:pPr>
        <w:pStyle w:val="Odstavecseseznamem"/>
        <w:numPr>
          <w:ilvl w:val="0"/>
          <w:numId w:val="2"/>
        </w:numPr>
        <w:rPr>
          <w:i/>
        </w:rPr>
      </w:pPr>
      <w:r w:rsidRPr="00916188">
        <w:rPr>
          <w:i/>
        </w:rPr>
        <w:t>Máte výpočet únosnosti příjezdové cesty ke stavbě? Jde mi o to, jakou technikou v případě realizace navážet materiál.</w:t>
      </w:r>
    </w:p>
    <w:p w:rsidR="00FA75CB" w:rsidRDefault="00FA75CB" w:rsidP="00FA75CB">
      <w:pPr>
        <w:pStyle w:val="Odstavecseseznamem"/>
      </w:pPr>
    </w:p>
    <w:p w:rsidR="00937B14" w:rsidRPr="00937B14" w:rsidRDefault="006864AC" w:rsidP="00937B14">
      <w:pPr>
        <w:shd w:val="clear" w:color="auto" w:fill="D9D9D9" w:themeFill="background1" w:themeFillShade="D9"/>
        <w:spacing w:after="0" w:line="20" w:lineRule="atLeast"/>
        <w:jc w:val="center"/>
        <w:rPr>
          <w:rFonts w:asciiTheme="minorHAnsi" w:hAnsiTheme="minorHAnsi" w:cs="Arial"/>
          <w:b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  <w:sz w:val="23"/>
          <w:szCs w:val="23"/>
        </w:rPr>
        <w:t>Odpovědi</w:t>
      </w:r>
      <w:bookmarkStart w:id="0" w:name="_GoBack"/>
      <w:bookmarkEnd w:id="0"/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 xml:space="preserve">ad 1: Spočítejte si prostupy ZTI a UT z projektové dokumentace a odhadněte výměru na 1 prostup. </w:t>
      </w:r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>ad 2: Je na vašem uvážení, jestli vůbec a kolik podlah budete zakrývat a jak často. Výměru nebylo možné dopředu odhadnout. Rozhodnutí ponecháno na uchazeči.</w:t>
      </w:r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 xml:space="preserve">ad 3: Při sestavování rozpočtu nebylo zcela jasné, jaký bude rozsah </w:t>
      </w:r>
      <w:proofErr w:type="spellStart"/>
      <w:r w:rsidRPr="00153CFA">
        <w:t>podchycovacích</w:t>
      </w:r>
      <w:proofErr w:type="spellEnd"/>
      <w:r w:rsidRPr="00153CFA">
        <w:t xml:space="preserve"> konstrukcí. Záleží na více faktorech, které jsou do odkrytí konstrukcí stropů nejasné. Proveďte kvalifikovaný odhad nákladů tak, aby bylo možné podchycení provést v nejnepříznivější variantě, to znamená bez nároku na vícepráce z důvodu podcenění položky.</w:t>
      </w:r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>ad 4: Opakující se dotaz. Viz odpověď k bodu 2.</w:t>
      </w:r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 xml:space="preserve">ad 5: Pokud potřebujete položku rozčlenit na dílčí práce, </w:t>
      </w:r>
      <w:proofErr w:type="spellStart"/>
      <w:r w:rsidRPr="00153CFA">
        <w:t>naceňte</w:t>
      </w:r>
      <w:proofErr w:type="spellEnd"/>
      <w:r w:rsidRPr="00153CFA">
        <w:t xml:space="preserve"> si ji interně na základě výkresové dokumentace. Výkaz bandáží vám nedodáme.</w:t>
      </w:r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>ad 6: Položka 110 – proveďte kvalifikovaný odhad položky na základě projektu ZTI. Položka 117 – doplňte součet, co vám vyjde z dílčího rozpočtu „</w:t>
      </w:r>
      <w:proofErr w:type="spellStart"/>
      <w:r w:rsidRPr="00153CFA">
        <w:t>rozpocet_UT</w:t>
      </w:r>
      <w:proofErr w:type="spellEnd"/>
      <w:r w:rsidRPr="00153CFA">
        <w:t>“. Položka 118 - proveďte kvalifikovaný odhad položky na základě projektu UT.</w:t>
      </w:r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>ad 7: Investor umožní na svém pozemku v místě stavby vítěznému zhotoviteli zřídit zařízení staveniště dle potřeby nutné ke zdárnému provedení díla. Uvedený rozsah není závazný.</w:t>
      </w:r>
    </w:p>
    <w:p w:rsidR="00153CFA" w:rsidRPr="00153CFA" w:rsidRDefault="00153CFA" w:rsidP="00153CFA">
      <w:pPr>
        <w:pStyle w:val="Normlnweb"/>
        <w:spacing w:after="0" w:afterAutospacing="0"/>
        <w:jc w:val="both"/>
      </w:pPr>
      <w:r w:rsidRPr="00153CFA">
        <w:t>ad 8: Nemáme. Vjezd stavební techniky bude umožněn po příjezdové cestě od chodníku po jihovýchodní roh objektu. Případné opravy příjezdové cesty budou řešeny dohodou mimo rozsah zadání.</w:t>
      </w:r>
    </w:p>
    <w:p w:rsidR="00937B14" w:rsidRPr="00683A82" w:rsidRDefault="00937B14" w:rsidP="00937B14">
      <w:pPr>
        <w:pStyle w:val="Odstavecseseznamem1"/>
        <w:spacing w:after="240" w:line="240" w:lineRule="auto"/>
        <w:ind w:left="714"/>
        <w:jc w:val="both"/>
        <w:rPr>
          <w:sz w:val="24"/>
          <w:szCs w:val="24"/>
          <w:highlight w:val="yellow"/>
        </w:rPr>
      </w:pPr>
    </w:p>
    <w:sectPr w:rsidR="00937B14" w:rsidRPr="00683A82" w:rsidSect="00153CFA">
      <w:headerReference w:type="default" r:id="rId7"/>
      <w:pgSz w:w="11906" w:h="16838"/>
      <w:pgMar w:top="1417" w:right="1417" w:bottom="568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40" w:rsidRDefault="00E06C40" w:rsidP="00D3699A">
      <w:pPr>
        <w:spacing w:after="0" w:line="240" w:lineRule="auto"/>
      </w:pPr>
      <w:r>
        <w:separator/>
      </w:r>
    </w:p>
  </w:endnote>
  <w:endnote w:type="continuationSeparator" w:id="0">
    <w:p w:rsidR="00E06C40" w:rsidRDefault="00E06C40" w:rsidP="00D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40" w:rsidRDefault="00E06C40" w:rsidP="00D3699A">
      <w:pPr>
        <w:spacing w:after="0" w:line="240" w:lineRule="auto"/>
      </w:pPr>
      <w:r>
        <w:separator/>
      </w:r>
    </w:p>
  </w:footnote>
  <w:footnote w:type="continuationSeparator" w:id="0">
    <w:p w:rsidR="00E06C40" w:rsidRDefault="00E06C40" w:rsidP="00D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69" w:rsidRDefault="000B2319" w:rsidP="005E111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24425" cy="1123950"/>
          <wp:effectExtent l="19050" t="0" r="9525" b="0"/>
          <wp:docPr id="8" name="obrázek 1" descr="6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6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96A"/>
    <w:multiLevelType w:val="hybridMultilevel"/>
    <w:tmpl w:val="32A8A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C7A29"/>
    <w:multiLevelType w:val="hybridMultilevel"/>
    <w:tmpl w:val="A83A2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6"/>
    <w:rsid w:val="00012DCC"/>
    <w:rsid w:val="000144FD"/>
    <w:rsid w:val="0003035A"/>
    <w:rsid w:val="00037227"/>
    <w:rsid w:val="0004225C"/>
    <w:rsid w:val="00051B90"/>
    <w:rsid w:val="000B2319"/>
    <w:rsid w:val="0012457D"/>
    <w:rsid w:val="00140B8F"/>
    <w:rsid w:val="00153CFA"/>
    <w:rsid w:val="00182357"/>
    <w:rsid w:val="00183D7E"/>
    <w:rsid w:val="001A1140"/>
    <w:rsid w:val="00204188"/>
    <w:rsid w:val="00214DC8"/>
    <w:rsid w:val="002353D5"/>
    <w:rsid w:val="0023779F"/>
    <w:rsid w:val="00250F5B"/>
    <w:rsid w:val="00257C9B"/>
    <w:rsid w:val="002A5EE5"/>
    <w:rsid w:val="002B5D1B"/>
    <w:rsid w:val="00305E9D"/>
    <w:rsid w:val="00316D28"/>
    <w:rsid w:val="003C7028"/>
    <w:rsid w:val="003E1C21"/>
    <w:rsid w:val="00404181"/>
    <w:rsid w:val="005367E3"/>
    <w:rsid w:val="005A600A"/>
    <w:rsid w:val="005C0F89"/>
    <w:rsid w:val="005E111B"/>
    <w:rsid w:val="005E256E"/>
    <w:rsid w:val="005F18BD"/>
    <w:rsid w:val="00653369"/>
    <w:rsid w:val="00683A82"/>
    <w:rsid w:val="006864AC"/>
    <w:rsid w:val="006F57BD"/>
    <w:rsid w:val="00725BF2"/>
    <w:rsid w:val="00733F54"/>
    <w:rsid w:val="00783BB2"/>
    <w:rsid w:val="007A0ABE"/>
    <w:rsid w:val="00831B7B"/>
    <w:rsid w:val="00835487"/>
    <w:rsid w:val="008370BB"/>
    <w:rsid w:val="00865E3D"/>
    <w:rsid w:val="008A46E1"/>
    <w:rsid w:val="008C0AEA"/>
    <w:rsid w:val="00916188"/>
    <w:rsid w:val="00937B14"/>
    <w:rsid w:val="00973B20"/>
    <w:rsid w:val="00995436"/>
    <w:rsid w:val="009D5D37"/>
    <w:rsid w:val="00A31E8C"/>
    <w:rsid w:val="00A45255"/>
    <w:rsid w:val="00A645D6"/>
    <w:rsid w:val="00A65010"/>
    <w:rsid w:val="00A73AC2"/>
    <w:rsid w:val="00A754D0"/>
    <w:rsid w:val="00AA154C"/>
    <w:rsid w:val="00AC056F"/>
    <w:rsid w:val="00AD44F2"/>
    <w:rsid w:val="00AF1CC0"/>
    <w:rsid w:val="00AF2A05"/>
    <w:rsid w:val="00BD7A43"/>
    <w:rsid w:val="00C05BDE"/>
    <w:rsid w:val="00C46630"/>
    <w:rsid w:val="00D16576"/>
    <w:rsid w:val="00D3699A"/>
    <w:rsid w:val="00D83E5D"/>
    <w:rsid w:val="00DA602F"/>
    <w:rsid w:val="00DF087A"/>
    <w:rsid w:val="00DF7633"/>
    <w:rsid w:val="00E06C40"/>
    <w:rsid w:val="00E832BB"/>
    <w:rsid w:val="00EA0B86"/>
    <w:rsid w:val="00EB340B"/>
    <w:rsid w:val="00EE5E4A"/>
    <w:rsid w:val="00F1483C"/>
    <w:rsid w:val="00F47315"/>
    <w:rsid w:val="00F643E1"/>
    <w:rsid w:val="00FA75CB"/>
    <w:rsid w:val="00FA7602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2C8F78-8797-4B96-9DC9-C50D1788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57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95436"/>
    <w:pPr>
      <w:ind w:left="720"/>
    </w:pPr>
  </w:style>
  <w:style w:type="paragraph" w:styleId="Textbubliny">
    <w:name w:val="Balloon Text"/>
    <w:basedOn w:val="Normln"/>
    <w:link w:val="TextbublinyChar"/>
    <w:semiHidden/>
    <w:rsid w:val="00AF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AF1C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3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D3699A"/>
    <w:rPr>
      <w:rFonts w:cs="Times New Roman"/>
    </w:rPr>
  </w:style>
  <w:style w:type="paragraph" w:styleId="Zpat">
    <w:name w:val="footer"/>
    <w:basedOn w:val="Normln"/>
    <w:link w:val="ZpatChar"/>
    <w:rsid w:val="00D3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3699A"/>
    <w:rPr>
      <w:rFonts w:cs="Times New Roman"/>
    </w:rPr>
  </w:style>
  <w:style w:type="paragraph" w:customStyle="1" w:styleId="odsazfurt">
    <w:name w:val="odsaz furt"/>
    <w:basedOn w:val="Normln"/>
    <w:rsid w:val="00404181"/>
    <w:pPr>
      <w:spacing w:after="0" w:line="240" w:lineRule="auto"/>
      <w:ind w:left="284"/>
      <w:jc w:val="both"/>
    </w:pPr>
    <w:rPr>
      <w:rFonts w:ascii="Tahoma" w:hAnsi="Tahoma"/>
      <w:color w:val="000000"/>
      <w:sz w:val="20"/>
      <w:szCs w:val="20"/>
      <w:lang w:eastAsia="cs-CZ"/>
    </w:rPr>
  </w:style>
  <w:style w:type="paragraph" w:customStyle="1" w:styleId="Stylodsazfurt11bVlevo0cm">
    <w:name w:val="Styl odsaz furt + 11 b. Vlevo:  0 cm"/>
    <w:basedOn w:val="odsazfurt"/>
    <w:rsid w:val="00404181"/>
    <w:pPr>
      <w:spacing w:before="120"/>
      <w:ind w:left="0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A75CB"/>
    <w:pPr>
      <w:spacing w:after="0" w:line="240" w:lineRule="auto"/>
      <w:ind w:left="720"/>
    </w:pPr>
    <w:rPr>
      <w:rFonts w:eastAsiaTheme="minorHAnsi"/>
    </w:rPr>
  </w:style>
  <w:style w:type="paragraph" w:styleId="Normlnweb">
    <w:name w:val="Normal (Web)"/>
    <w:basedOn w:val="Normln"/>
    <w:uiPriority w:val="99"/>
    <w:semiHidden/>
    <w:unhideWhenUsed/>
    <w:rsid w:val="00153C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MPSV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Menčíková Irena (DC)</dc:creator>
  <cp:lastModifiedBy>Vladimír Plesník</cp:lastModifiedBy>
  <cp:revision>9</cp:revision>
  <cp:lastPrinted>2015-05-24T10:45:00Z</cp:lastPrinted>
  <dcterms:created xsi:type="dcterms:W3CDTF">2015-05-24T10:09:00Z</dcterms:created>
  <dcterms:modified xsi:type="dcterms:W3CDTF">2015-05-24T10:47:00Z</dcterms:modified>
</cp:coreProperties>
</file>