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29" w:rsidRPr="00000F13" w:rsidRDefault="00A53729" w:rsidP="002F76F0">
      <w:pPr>
        <w:jc w:val="right"/>
        <w:rPr>
          <w:sz w:val="28"/>
          <w:szCs w:val="28"/>
        </w:rPr>
      </w:pPr>
      <w:r w:rsidRPr="00A53729">
        <w:t>Číslo smlouvy:</w:t>
      </w:r>
      <w:r>
        <w:t xml:space="preserve"> </w:t>
      </w:r>
      <w:r w:rsidR="002B6ECC">
        <w:t>..................................</w:t>
      </w:r>
    </w:p>
    <w:p w:rsidR="00A53729" w:rsidRDefault="00A53729" w:rsidP="00A53729"/>
    <w:p w:rsidR="007A5701" w:rsidRDefault="00F6310A" w:rsidP="002F76F0">
      <w:pPr>
        <w:jc w:val="center"/>
        <w:rPr>
          <w:b/>
        </w:rPr>
      </w:pPr>
      <w:r w:rsidRPr="002F76F0">
        <w:rPr>
          <w:b/>
        </w:rPr>
        <w:t>Smlouva o poskytování komplexních</w:t>
      </w:r>
      <w:r w:rsidR="00C564C5">
        <w:rPr>
          <w:b/>
        </w:rPr>
        <w:t xml:space="preserve"> </w:t>
      </w:r>
      <w:r w:rsidRPr="002F76F0">
        <w:rPr>
          <w:b/>
        </w:rPr>
        <w:t>služeb v odpadovém hospodářství v souladu se zákonem č. 185/2001 Sb., o odpadech</w:t>
      </w:r>
      <w:r w:rsidR="004D4C17">
        <w:rPr>
          <w:b/>
        </w:rPr>
        <w:t xml:space="preserve"> </w:t>
      </w:r>
      <w:r w:rsidR="004D4C17" w:rsidRPr="004D4C17">
        <w:rPr>
          <w:b/>
        </w:rPr>
        <w:t>a o změně některých dalších zákonů</w:t>
      </w:r>
      <w:r w:rsidRPr="002F76F0">
        <w:rPr>
          <w:b/>
        </w:rPr>
        <w:t>, ve znění pozdějších předpisů</w:t>
      </w:r>
    </w:p>
    <w:p w:rsidR="00F6310A" w:rsidRPr="002F76F0" w:rsidRDefault="00F6310A" w:rsidP="002F76F0">
      <w:pPr>
        <w:jc w:val="center"/>
        <w:rPr>
          <w:b/>
        </w:rPr>
      </w:pPr>
    </w:p>
    <w:p w:rsidR="0091761D" w:rsidRDefault="00216D98" w:rsidP="00D15C0E">
      <w:r w:rsidRPr="00216D98">
        <w:t xml:space="preserve">uzavřená podle § </w:t>
      </w:r>
      <w:r w:rsidR="00EF7838">
        <w:t>1746 odst. 2</w:t>
      </w:r>
      <w:r w:rsidRPr="00216D98">
        <w:t xml:space="preserve"> zákona č. 89/2012 Sb., občanského zákoníku, ve znění pozdějších předpisů, mezi smluvními stranami (dále jen jako „smlouva“)</w:t>
      </w:r>
    </w:p>
    <w:p w:rsidR="00C564C5" w:rsidRDefault="00C564C5" w:rsidP="00D15C0E"/>
    <w:p w:rsidR="0091761D" w:rsidRDefault="0091761D" w:rsidP="00D15C0E"/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612"/>
      </w:tblGrid>
      <w:tr w:rsidR="00A53729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A53729" w:rsidRPr="00D15C0E" w:rsidRDefault="00F6310A" w:rsidP="00F6310A">
            <w:r>
              <w:t>Název</w:t>
            </w:r>
            <w:r w:rsidR="00A53729" w:rsidRPr="00D15C0E">
              <w:t>:</w:t>
            </w:r>
          </w:p>
        </w:tc>
        <w:tc>
          <w:tcPr>
            <w:tcW w:w="7612" w:type="dxa"/>
            <w:shd w:val="clear" w:color="auto" w:fill="auto"/>
          </w:tcPr>
          <w:p w:rsidR="00A53729" w:rsidRPr="00D15C0E" w:rsidRDefault="0052325C" w:rsidP="00D15C0E">
            <w:r w:rsidRPr="0052325C">
              <w:t>Obec Česká</w:t>
            </w:r>
          </w:p>
        </w:tc>
      </w:tr>
      <w:tr w:rsidR="00A53729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A53729" w:rsidRPr="00D15C0E" w:rsidRDefault="00A53729" w:rsidP="00D15C0E">
            <w:r w:rsidRPr="00D15C0E">
              <w:t>Sídlo:</w:t>
            </w:r>
          </w:p>
        </w:tc>
        <w:tc>
          <w:tcPr>
            <w:tcW w:w="7612" w:type="dxa"/>
            <w:shd w:val="clear" w:color="auto" w:fill="auto"/>
          </w:tcPr>
          <w:p w:rsidR="00A53729" w:rsidRPr="00D15C0E" w:rsidRDefault="0052325C" w:rsidP="00D15C0E">
            <w:r w:rsidRPr="0052325C">
              <w:t>Česká 26, 664 31 Česká</w:t>
            </w:r>
          </w:p>
        </w:tc>
      </w:tr>
      <w:tr w:rsidR="00C64785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C64785" w:rsidRPr="00D15C0E" w:rsidRDefault="00C64785" w:rsidP="0021781D">
            <w:r w:rsidRPr="00D15C0E">
              <w:t>IČ</w:t>
            </w:r>
            <w:r w:rsidR="002C4CE3">
              <w:t>O</w:t>
            </w:r>
            <w:r w:rsidRPr="00D15C0E">
              <w:t>:</w:t>
            </w:r>
          </w:p>
        </w:tc>
        <w:tc>
          <w:tcPr>
            <w:tcW w:w="7612" w:type="dxa"/>
            <w:shd w:val="clear" w:color="auto" w:fill="auto"/>
          </w:tcPr>
          <w:p w:rsidR="00C64785" w:rsidRPr="00D15C0E" w:rsidRDefault="0052325C" w:rsidP="0021781D">
            <w:r w:rsidRPr="0052325C">
              <w:t>002</w:t>
            </w:r>
            <w:r>
              <w:t xml:space="preserve"> </w:t>
            </w:r>
            <w:r w:rsidRPr="0052325C">
              <w:t>81</w:t>
            </w:r>
            <w:r>
              <w:t xml:space="preserve"> </w:t>
            </w:r>
            <w:r w:rsidRPr="0052325C">
              <w:t>671</w:t>
            </w:r>
          </w:p>
        </w:tc>
      </w:tr>
      <w:tr w:rsidR="00C64785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C64785" w:rsidRPr="00D15C0E" w:rsidRDefault="00C64785" w:rsidP="0021781D">
            <w:r w:rsidRPr="00D15C0E">
              <w:t>DIČ:</w:t>
            </w:r>
          </w:p>
        </w:tc>
        <w:tc>
          <w:tcPr>
            <w:tcW w:w="7612" w:type="dxa"/>
            <w:shd w:val="clear" w:color="auto" w:fill="auto"/>
          </w:tcPr>
          <w:p w:rsidR="00C64785" w:rsidRPr="00D15C0E" w:rsidRDefault="0052325C" w:rsidP="0021781D">
            <w:r w:rsidRPr="0052325C">
              <w:t>CZ00281671</w:t>
            </w:r>
          </w:p>
        </w:tc>
      </w:tr>
      <w:tr w:rsidR="00A53729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A53729" w:rsidRPr="00D15C0E" w:rsidRDefault="00A53729" w:rsidP="00F6310A">
            <w:r w:rsidRPr="00D15C0E">
              <w:t>Zastoupen</w:t>
            </w:r>
            <w:r w:rsidR="00F6310A">
              <w:t>ý</w:t>
            </w:r>
            <w:r w:rsidRPr="00D15C0E">
              <w:t>:</w:t>
            </w:r>
          </w:p>
        </w:tc>
        <w:tc>
          <w:tcPr>
            <w:tcW w:w="7612" w:type="dxa"/>
            <w:shd w:val="clear" w:color="auto" w:fill="auto"/>
          </w:tcPr>
          <w:p w:rsidR="00A53729" w:rsidRPr="00D15C0E" w:rsidRDefault="0052325C" w:rsidP="0052325C">
            <w:r>
              <w:t>Ing. Janou</w:t>
            </w:r>
            <w:r w:rsidRPr="0052325C">
              <w:t xml:space="preserve"> Chiniov</w:t>
            </w:r>
            <w:r>
              <w:t>ou</w:t>
            </w:r>
            <w:r w:rsidR="004A5550" w:rsidRPr="009046BA">
              <w:t>, starost</w:t>
            </w:r>
            <w:r>
              <w:t>k</w:t>
            </w:r>
            <w:r w:rsidR="004A5550" w:rsidRPr="009046BA">
              <w:t>ou</w:t>
            </w:r>
          </w:p>
        </w:tc>
      </w:tr>
      <w:tr w:rsidR="002C4CE3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2C4CE3" w:rsidRPr="00D15C0E" w:rsidRDefault="002C4CE3" w:rsidP="00041CDE">
            <w:r w:rsidRPr="00D15C0E">
              <w:t>Bankovní spojení</w:t>
            </w:r>
            <w:r>
              <w:t>:</w:t>
            </w:r>
          </w:p>
        </w:tc>
        <w:tc>
          <w:tcPr>
            <w:tcW w:w="7612" w:type="dxa"/>
            <w:shd w:val="clear" w:color="auto" w:fill="auto"/>
          </w:tcPr>
          <w:p w:rsidR="002C4CE3" w:rsidRPr="00D15C0E" w:rsidRDefault="0052325C" w:rsidP="00041CDE">
            <w:r w:rsidRPr="0052325C">
              <w:t>Česká spořitelna</w:t>
            </w:r>
          </w:p>
        </w:tc>
      </w:tr>
      <w:tr w:rsidR="002C4CE3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2C4CE3" w:rsidRPr="00D15C0E" w:rsidRDefault="002C4CE3" w:rsidP="00041CDE">
            <w:r w:rsidRPr="00D15C0E">
              <w:t>Číslo účtu:</w:t>
            </w:r>
          </w:p>
        </w:tc>
        <w:tc>
          <w:tcPr>
            <w:tcW w:w="7612" w:type="dxa"/>
            <w:shd w:val="clear" w:color="auto" w:fill="auto"/>
          </w:tcPr>
          <w:p w:rsidR="002C4CE3" w:rsidRPr="00D15C0E" w:rsidRDefault="0052325C" w:rsidP="00041CDE">
            <w:r w:rsidRPr="0052325C">
              <w:t>1348822309/0800</w:t>
            </w:r>
          </w:p>
        </w:tc>
      </w:tr>
      <w:tr w:rsidR="00A53729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A53729" w:rsidRPr="00D15C0E" w:rsidRDefault="002C4CE3" w:rsidP="002C4CE3">
            <w:r>
              <w:t>Pověřená osoba</w:t>
            </w:r>
            <w:r w:rsidR="00A53729" w:rsidRPr="00D15C0E">
              <w:t>:</w:t>
            </w:r>
          </w:p>
        </w:tc>
        <w:tc>
          <w:tcPr>
            <w:tcW w:w="7612" w:type="dxa"/>
            <w:shd w:val="clear" w:color="auto" w:fill="auto"/>
          </w:tcPr>
          <w:p w:rsidR="00A53729" w:rsidRPr="00D15C0E" w:rsidRDefault="0052325C" w:rsidP="00D15C0E">
            <w:r w:rsidRPr="0052325C">
              <w:t>Ing. Jana Chiniová</w:t>
            </w:r>
          </w:p>
        </w:tc>
      </w:tr>
      <w:tr w:rsidR="00C64785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C64785" w:rsidRPr="00D15C0E" w:rsidRDefault="00C64785" w:rsidP="00C64785">
            <w:r w:rsidRPr="00D15C0E">
              <w:t>Telefon:</w:t>
            </w:r>
          </w:p>
        </w:tc>
        <w:tc>
          <w:tcPr>
            <w:tcW w:w="7612" w:type="dxa"/>
            <w:shd w:val="clear" w:color="auto" w:fill="auto"/>
          </w:tcPr>
          <w:p w:rsidR="00C64785" w:rsidRPr="00D15C0E" w:rsidRDefault="0052325C" w:rsidP="0021781D">
            <w:r w:rsidRPr="0052325C">
              <w:t>724183507</w:t>
            </w:r>
          </w:p>
        </w:tc>
      </w:tr>
      <w:tr w:rsidR="00A53729" w:rsidRPr="00D15C0E" w:rsidTr="002B1DEC">
        <w:trPr>
          <w:trHeight w:val="352"/>
        </w:trPr>
        <w:tc>
          <w:tcPr>
            <w:tcW w:w="2235" w:type="dxa"/>
            <w:shd w:val="clear" w:color="auto" w:fill="auto"/>
          </w:tcPr>
          <w:p w:rsidR="00A53729" w:rsidRPr="00D15C0E" w:rsidRDefault="00A53729" w:rsidP="00D15C0E">
            <w:r w:rsidRPr="00D15C0E">
              <w:t>E-mail:</w:t>
            </w:r>
          </w:p>
        </w:tc>
        <w:tc>
          <w:tcPr>
            <w:tcW w:w="7612" w:type="dxa"/>
            <w:shd w:val="clear" w:color="auto" w:fill="auto"/>
          </w:tcPr>
          <w:p w:rsidR="00A53729" w:rsidRPr="00D15C0E" w:rsidRDefault="0052325C" w:rsidP="00D15C0E">
            <w:hyperlink r:id="rId9" w:history="1">
              <w:r w:rsidRPr="00656EC3">
                <w:rPr>
                  <w:rStyle w:val="Hyperlink"/>
                </w:rPr>
                <w:t>obec-ceska@volny.cz</w:t>
              </w:r>
            </w:hyperlink>
            <w:r>
              <w:t xml:space="preserve"> </w:t>
            </w:r>
          </w:p>
        </w:tc>
      </w:tr>
    </w:tbl>
    <w:p w:rsidR="00A53729" w:rsidRPr="00D15C0E" w:rsidRDefault="00A53729" w:rsidP="00D15C0E"/>
    <w:p w:rsidR="00A53729" w:rsidRPr="002A30A1" w:rsidRDefault="002A30A1" w:rsidP="00D15C0E">
      <w:r w:rsidRPr="002A30A1">
        <w:t>na straně jedné a dále v textu jako „</w:t>
      </w:r>
      <w:r w:rsidRPr="002A30A1">
        <w:rPr>
          <w:b/>
        </w:rPr>
        <w:t>Původce odpadu“</w:t>
      </w:r>
    </w:p>
    <w:p w:rsidR="002A30A1" w:rsidRPr="00D15C0E" w:rsidRDefault="002A30A1" w:rsidP="00D15C0E"/>
    <w:p w:rsidR="00A53729" w:rsidRDefault="002A30A1" w:rsidP="00D15C0E">
      <w:pPr>
        <w:rPr>
          <w:b/>
        </w:rPr>
      </w:pPr>
      <w:r>
        <w:rPr>
          <w:b/>
        </w:rPr>
        <w:t>a</w:t>
      </w:r>
    </w:p>
    <w:p w:rsidR="002A30A1" w:rsidRPr="00D15C0E" w:rsidRDefault="002A30A1" w:rsidP="00D15C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2"/>
      </w:tblGrid>
      <w:tr w:rsidR="00A53729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A53729" w:rsidRPr="00D15C0E" w:rsidRDefault="00C64785" w:rsidP="00D15C0E">
            <w:r>
              <w:t>Název</w:t>
            </w:r>
            <w:r w:rsidR="00A53729" w:rsidRPr="00D15C0E">
              <w:t>:</w:t>
            </w:r>
          </w:p>
        </w:tc>
        <w:tc>
          <w:tcPr>
            <w:tcW w:w="7612" w:type="dxa"/>
            <w:shd w:val="clear" w:color="auto" w:fill="FFFF00"/>
          </w:tcPr>
          <w:p w:rsidR="00A53729" w:rsidRPr="00D15C0E" w:rsidRDefault="00A53729" w:rsidP="00743814"/>
        </w:tc>
      </w:tr>
      <w:tr w:rsidR="00A53729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A53729" w:rsidRPr="00D15C0E" w:rsidRDefault="00A53729" w:rsidP="00D15C0E">
            <w:r w:rsidRPr="00D15C0E">
              <w:t>Sídlo:</w:t>
            </w:r>
          </w:p>
        </w:tc>
        <w:tc>
          <w:tcPr>
            <w:tcW w:w="7612" w:type="dxa"/>
            <w:shd w:val="clear" w:color="auto" w:fill="FFFF00"/>
          </w:tcPr>
          <w:p w:rsidR="00A53729" w:rsidRPr="00D15C0E" w:rsidRDefault="00A53729" w:rsidP="00D15C0E"/>
        </w:tc>
      </w:tr>
      <w:tr w:rsidR="00C64785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C64785" w:rsidRPr="00D15C0E" w:rsidRDefault="00C64785" w:rsidP="0021781D">
            <w:r w:rsidRPr="00D15C0E">
              <w:t>IČ</w:t>
            </w:r>
            <w:r w:rsidR="002C4CE3">
              <w:t>O</w:t>
            </w:r>
            <w:r w:rsidRPr="00D15C0E">
              <w:t>:</w:t>
            </w:r>
          </w:p>
        </w:tc>
        <w:tc>
          <w:tcPr>
            <w:tcW w:w="7612" w:type="dxa"/>
            <w:shd w:val="clear" w:color="auto" w:fill="FFFF00"/>
          </w:tcPr>
          <w:p w:rsidR="00C64785" w:rsidRPr="00D15C0E" w:rsidRDefault="00C64785" w:rsidP="0021781D"/>
        </w:tc>
      </w:tr>
      <w:tr w:rsidR="00C64785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C64785" w:rsidRPr="00D15C0E" w:rsidRDefault="00C64785" w:rsidP="0021781D">
            <w:r w:rsidRPr="00D15C0E">
              <w:t>DIČ:</w:t>
            </w:r>
          </w:p>
        </w:tc>
        <w:tc>
          <w:tcPr>
            <w:tcW w:w="7612" w:type="dxa"/>
            <w:shd w:val="clear" w:color="auto" w:fill="FFFF00"/>
          </w:tcPr>
          <w:p w:rsidR="00C64785" w:rsidRPr="00D15C0E" w:rsidRDefault="00C64785" w:rsidP="0021781D"/>
        </w:tc>
      </w:tr>
      <w:tr w:rsidR="00A53729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A53729" w:rsidRPr="00D15C0E" w:rsidRDefault="00E95024" w:rsidP="00F6310A">
            <w:r w:rsidRPr="00D15C0E">
              <w:t>Zastoupen</w:t>
            </w:r>
            <w:r w:rsidR="00F6310A">
              <w:t>ý</w:t>
            </w:r>
            <w:r w:rsidRPr="00D15C0E">
              <w:t>:</w:t>
            </w:r>
          </w:p>
        </w:tc>
        <w:tc>
          <w:tcPr>
            <w:tcW w:w="7612" w:type="dxa"/>
            <w:shd w:val="clear" w:color="auto" w:fill="FFFF00"/>
          </w:tcPr>
          <w:p w:rsidR="00A53729" w:rsidRPr="00D15C0E" w:rsidRDefault="00A53729" w:rsidP="00D15C0E"/>
        </w:tc>
      </w:tr>
      <w:tr w:rsidR="00F6310A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F6310A" w:rsidRPr="00D15C0E" w:rsidRDefault="00F6310A" w:rsidP="00041CDE">
            <w:r>
              <w:t>Zapsaný v:</w:t>
            </w:r>
          </w:p>
        </w:tc>
        <w:tc>
          <w:tcPr>
            <w:tcW w:w="7612" w:type="dxa"/>
            <w:shd w:val="clear" w:color="auto" w:fill="FFFF00"/>
          </w:tcPr>
          <w:p w:rsidR="00F6310A" w:rsidRPr="00D15C0E" w:rsidRDefault="00F6310A" w:rsidP="00041CDE"/>
        </w:tc>
      </w:tr>
      <w:tr w:rsidR="00F6310A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F6310A" w:rsidRPr="00D15C0E" w:rsidRDefault="00F6310A" w:rsidP="00041CDE">
            <w:r w:rsidRPr="00D15C0E">
              <w:t>Bankovní spojení</w:t>
            </w:r>
            <w:r>
              <w:t>:</w:t>
            </w:r>
          </w:p>
        </w:tc>
        <w:tc>
          <w:tcPr>
            <w:tcW w:w="7612" w:type="dxa"/>
            <w:shd w:val="clear" w:color="auto" w:fill="FFFF00"/>
          </w:tcPr>
          <w:p w:rsidR="00F6310A" w:rsidRPr="00D15C0E" w:rsidRDefault="00F6310A" w:rsidP="00041CDE"/>
        </w:tc>
      </w:tr>
      <w:tr w:rsidR="00F6310A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F6310A" w:rsidRPr="00D15C0E" w:rsidRDefault="00F6310A" w:rsidP="00041CDE">
            <w:r w:rsidRPr="00D15C0E">
              <w:t>Číslo účtu:</w:t>
            </w:r>
          </w:p>
        </w:tc>
        <w:tc>
          <w:tcPr>
            <w:tcW w:w="7612" w:type="dxa"/>
            <w:shd w:val="clear" w:color="auto" w:fill="FFFF00"/>
          </w:tcPr>
          <w:p w:rsidR="00F6310A" w:rsidRPr="00D15C0E" w:rsidRDefault="00F6310A" w:rsidP="00041CDE"/>
        </w:tc>
      </w:tr>
      <w:tr w:rsidR="00A53729" w:rsidRPr="00D15C0E" w:rsidTr="002F76F0">
        <w:trPr>
          <w:trHeight w:val="349"/>
        </w:trPr>
        <w:tc>
          <w:tcPr>
            <w:tcW w:w="2235" w:type="dxa"/>
            <w:shd w:val="clear" w:color="auto" w:fill="auto"/>
          </w:tcPr>
          <w:p w:rsidR="00A53729" w:rsidRPr="00D15C0E" w:rsidRDefault="00F6310A" w:rsidP="005071E3">
            <w:r>
              <w:t>Pověřená osoba</w:t>
            </w:r>
            <w:r w:rsidR="00A53729" w:rsidRPr="00D15C0E">
              <w:t>:</w:t>
            </w:r>
          </w:p>
        </w:tc>
        <w:tc>
          <w:tcPr>
            <w:tcW w:w="7612" w:type="dxa"/>
            <w:shd w:val="clear" w:color="auto" w:fill="FFFF00"/>
          </w:tcPr>
          <w:p w:rsidR="00A53729" w:rsidRPr="00D15C0E" w:rsidRDefault="00A53729" w:rsidP="00D15C0E"/>
        </w:tc>
      </w:tr>
      <w:tr w:rsidR="00C64785" w:rsidRPr="00D15C0E" w:rsidTr="002F76F0">
        <w:trPr>
          <w:trHeight w:val="333"/>
        </w:trPr>
        <w:tc>
          <w:tcPr>
            <w:tcW w:w="2235" w:type="dxa"/>
            <w:shd w:val="clear" w:color="auto" w:fill="auto"/>
          </w:tcPr>
          <w:p w:rsidR="00C64785" w:rsidRPr="00D15C0E" w:rsidRDefault="00C64785" w:rsidP="0021781D">
            <w:r w:rsidRPr="00D15C0E">
              <w:t>Telefon:</w:t>
            </w:r>
          </w:p>
        </w:tc>
        <w:tc>
          <w:tcPr>
            <w:tcW w:w="7612" w:type="dxa"/>
            <w:shd w:val="clear" w:color="auto" w:fill="FFFF00"/>
          </w:tcPr>
          <w:p w:rsidR="00C64785" w:rsidRPr="00D15C0E" w:rsidRDefault="00C64785" w:rsidP="0021781D"/>
        </w:tc>
      </w:tr>
      <w:tr w:rsidR="00C64785" w:rsidRPr="00D15C0E" w:rsidTr="002F76F0">
        <w:trPr>
          <w:trHeight w:val="333"/>
        </w:trPr>
        <w:tc>
          <w:tcPr>
            <w:tcW w:w="2235" w:type="dxa"/>
            <w:shd w:val="clear" w:color="auto" w:fill="auto"/>
          </w:tcPr>
          <w:p w:rsidR="00C64785" w:rsidRPr="00D15C0E" w:rsidRDefault="00F6310A" w:rsidP="005071E3">
            <w:r>
              <w:t>E-mail</w:t>
            </w:r>
            <w:r w:rsidR="00C64785" w:rsidRPr="00D15C0E">
              <w:t>:</w:t>
            </w:r>
          </w:p>
        </w:tc>
        <w:tc>
          <w:tcPr>
            <w:tcW w:w="7612" w:type="dxa"/>
            <w:shd w:val="clear" w:color="auto" w:fill="FFFF00"/>
          </w:tcPr>
          <w:p w:rsidR="00C64785" w:rsidRPr="00D15C0E" w:rsidRDefault="00C64785" w:rsidP="0021781D"/>
        </w:tc>
      </w:tr>
    </w:tbl>
    <w:p w:rsidR="00A53729" w:rsidRDefault="00A53729" w:rsidP="00A53729">
      <w:pPr>
        <w:rPr>
          <w:rFonts w:ascii="Arial" w:hAnsi="Arial" w:cs="Arial"/>
          <w:b/>
        </w:rPr>
      </w:pPr>
    </w:p>
    <w:p w:rsidR="00E95024" w:rsidRPr="002A30A1" w:rsidRDefault="002A30A1" w:rsidP="00A53729">
      <w:r w:rsidRPr="002A30A1">
        <w:t>na straně druhé a dále v textu jako „</w:t>
      </w:r>
      <w:r>
        <w:rPr>
          <w:b/>
        </w:rPr>
        <w:t>Oprávněná osoba</w:t>
      </w:r>
      <w:r w:rsidRPr="002A30A1">
        <w:t>“</w:t>
      </w:r>
    </w:p>
    <w:p w:rsidR="00E95024" w:rsidRPr="002B6ECC" w:rsidRDefault="002B6ECC" w:rsidP="00A53729">
      <w:r w:rsidRPr="002B6ECC">
        <w:t>(dále společně i jako „Smluvní strany“)</w:t>
      </w:r>
    </w:p>
    <w:p w:rsidR="00E95024" w:rsidRDefault="00E95024" w:rsidP="00A53729">
      <w:pPr>
        <w:rPr>
          <w:rFonts w:ascii="Arial" w:hAnsi="Arial" w:cs="Arial"/>
          <w:b/>
        </w:rPr>
      </w:pPr>
    </w:p>
    <w:p w:rsidR="002A30A1" w:rsidRDefault="002A30A1" w:rsidP="00E95024">
      <w:pPr>
        <w:jc w:val="center"/>
        <w:rPr>
          <w:b/>
        </w:rPr>
      </w:pPr>
      <w:r>
        <w:rPr>
          <w:b/>
        </w:rPr>
        <w:t xml:space="preserve">Čl. </w:t>
      </w:r>
      <w:r w:rsidR="00E95024" w:rsidRPr="002A30A1">
        <w:rPr>
          <w:b/>
        </w:rPr>
        <w:t xml:space="preserve">I </w:t>
      </w:r>
    </w:p>
    <w:p w:rsidR="00E95024" w:rsidRPr="002A30A1" w:rsidRDefault="00E95024" w:rsidP="00E95024">
      <w:pPr>
        <w:jc w:val="center"/>
        <w:rPr>
          <w:b/>
        </w:rPr>
      </w:pPr>
      <w:r w:rsidRPr="002A30A1">
        <w:rPr>
          <w:b/>
        </w:rPr>
        <w:t>Předmět smlouvy</w:t>
      </w:r>
    </w:p>
    <w:p w:rsidR="00E95024" w:rsidRDefault="00E95024" w:rsidP="00E95024">
      <w:pPr>
        <w:rPr>
          <w:b/>
          <w:sz w:val="28"/>
          <w:szCs w:val="28"/>
        </w:rPr>
      </w:pPr>
    </w:p>
    <w:p w:rsidR="0091761D" w:rsidRDefault="00E95024" w:rsidP="002F76F0">
      <w:pPr>
        <w:numPr>
          <w:ilvl w:val="0"/>
          <w:numId w:val="2"/>
        </w:numPr>
      </w:pPr>
      <w:r w:rsidRPr="00D15C0E">
        <w:t xml:space="preserve">Předmětem smlouvy je závazek </w:t>
      </w:r>
      <w:r w:rsidR="00E835A7">
        <w:t>oprávněné osoby</w:t>
      </w:r>
      <w:r w:rsidRPr="00D15C0E">
        <w:t xml:space="preserve"> poskytovat služby v oblasti </w:t>
      </w:r>
      <w:r w:rsidR="00E86A76">
        <w:t>nakládání s odpady</w:t>
      </w:r>
      <w:r w:rsidR="00E835A7">
        <w:t xml:space="preserve"> v souladu </w:t>
      </w:r>
      <w:r w:rsidR="00E835A7" w:rsidRPr="00D15C0E">
        <w:t>se zákonem č. 185/2001 Sb.</w:t>
      </w:r>
      <w:r w:rsidR="00E835A7">
        <w:t>,</w:t>
      </w:r>
      <w:r w:rsidR="00E835A7" w:rsidRPr="00D15C0E">
        <w:t xml:space="preserve"> o odpadech</w:t>
      </w:r>
      <w:r w:rsidR="00E835A7">
        <w:t>,</w:t>
      </w:r>
      <w:r w:rsidR="00E835A7" w:rsidRPr="00D15C0E">
        <w:t xml:space="preserve"> </w:t>
      </w:r>
      <w:r w:rsidR="00F96164" w:rsidRPr="00216D98">
        <w:t>ve znění pozdějších předpisů</w:t>
      </w:r>
      <w:r w:rsidR="00F96164" w:rsidRPr="00D15C0E">
        <w:t xml:space="preserve"> </w:t>
      </w:r>
      <w:r w:rsidR="00237C06">
        <w:t>(dále jen „zákon“)</w:t>
      </w:r>
      <w:r w:rsidR="001207B3">
        <w:t>,</w:t>
      </w:r>
      <w:r w:rsidR="00E564E2">
        <w:t xml:space="preserve"> za </w:t>
      </w:r>
      <w:r w:rsidR="001207B3">
        <w:t>sjednanou úhradu</w:t>
      </w:r>
      <w:r w:rsidR="00E70355">
        <w:t>, a to zejména</w:t>
      </w:r>
      <w:r w:rsidR="002A0EAE">
        <w:t>:</w:t>
      </w:r>
      <w:r w:rsidR="00D15C0E" w:rsidRPr="00D15C0E">
        <w:t xml:space="preserve"> </w:t>
      </w:r>
    </w:p>
    <w:p w:rsidR="00E86A76" w:rsidRDefault="00E86A76" w:rsidP="00E86A76"/>
    <w:p w:rsidR="002A0EAE" w:rsidRDefault="002A0EAE" w:rsidP="002F76F0">
      <w:pPr>
        <w:numPr>
          <w:ilvl w:val="1"/>
          <w:numId w:val="2"/>
        </w:numPr>
        <w:spacing w:after="120"/>
      </w:pPr>
      <w:r>
        <w:lastRenderedPageBreak/>
        <w:t xml:space="preserve">Převzetí a svoz odpadů uvedených </w:t>
      </w:r>
      <w:r w:rsidRPr="008439B0">
        <w:t>v o</w:t>
      </w:r>
      <w:r>
        <w:t>dst. 2 za účelem jejich odstranění nebo využití v souladu se zákonem a ostatními obecně závaznými předpisy, jakož i v souladu s obecně závaznými vyhláškami o nakládání s odpady.</w:t>
      </w:r>
    </w:p>
    <w:p w:rsidR="00B13E1A" w:rsidRDefault="00B13E1A" w:rsidP="00B13E1A">
      <w:pPr>
        <w:numPr>
          <w:ilvl w:val="1"/>
          <w:numId w:val="2"/>
        </w:numPr>
        <w:spacing w:after="120"/>
      </w:pPr>
      <w:r>
        <w:t xml:space="preserve">Provádění svozu odpadu dle četnosti a období svozu v souladu s přílohou č. 1 smlouvy, popřípadě dalších upřesňujících časových údajů. </w:t>
      </w:r>
    </w:p>
    <w:p w:rsidR="002A0EAE" w:rsidRDefault="002A0EAE" w:rsidP="002F76F0">
      <w:pPr>
        <w:numPr>
          <w:ilvl w:val="1"/>
          <w:numId w:val="2"/>
        </w:numPr>
        <w:spacing w:after="120"/>
      </w:pPr>
      <w:r>
        <w:t>Svěření nádob a nájem speciálních nádob a technologií.</w:t>
      </w:r>
    </w:p>
    <w:p w:rsidR="00683471" w:rsidRDefault="00683471" w:rsidP="00683471">
      <w:pPr>
        <w:numPr>
          <w:ilvl w:val="1"/>
          <w:numId w:val="2"/>
        </w:numPr>
        <w:spacing w:after="120"/>
      </w:pPr>
      <w:r>
        <w:t>Vedení evidence produkovaných odpadů v souladu s vyhláškou MŽP ČR č. 383/2001 Sb</w:t>
      </w:r>
      <w:r w:rsidR="00F96164">
        <w:t>.</w:t>
      </w:r>
      <w:r>
        <w:t xml:space="preserve">, </w:t>
      </w:r>
      <w:r w:rsidR="00F96164" w:rsidRPr="00216D98">
        <w:t>ve znění pozdějších předpisů</w:t>
      </w:r>
      <w:r>
        <w:t xml:space="preserve">. </w:t>
      </w:r>
    </w:p>
    <w:p w:rsidR="002B1DEC" w:rsidRDefault="002B1DEC" w:rsidP="002B1DEC">
      <w:pPr>
        <w:numPr>
          <w:ilvl w:val="1"/>
          <w:numId w:val="2"/>
        </w:numPr>
        <w:spacing w:after="120"/>
      </w:pPr>
      <w:r>
        <w:t xml:space="preserve">Zpracování </w:t>
      </w:r>
      <w:r w:rsidRPr="00DD6705">
        <w:t>výkaz</w:t>
      </w:r>
      <w:r>
        <w:t>u</w:t>
      </w:r>
      <w:r w:rsidRPr="00DD6705">
        <w:t xml:space="preserve"> o produkci obalů</w:t>
      </w:r>
      <w:r>
        <w:t xml:space="preserve"> pro společnost </w:t>
      </w:r>
      <w:r w:rsidRPr="00DD6705">
        <w:t>EKO</w:t>
      </w:r>
      <w:r w:rsidRPr="00DD6705">
        <w:rPr>
          <w:rFonts w:ascii="MS Mincho" w:eastAsia="MS Mincho" w:hAnsi="MS Mincho" w:cs="MS Mincho" w:hint="eastAsia"/>
        </w:rPr>
        <w:t>‑</w:t>
      </w:r>
      <w:r w:rsidRPr="00DD6705">
        <w:t>KOM, a.s.</w:t>
      </w:r>
    </w:p>
    <w:p w:rsidR="002B1DEC" w:rsidRDefault="002B1DEC" w:rsidP="002B1DEC">
      <w:pPr>
        <w:spacing w:after="120"/>
        <w:ind w:left="1440"/>
      </w:pPr>
    </w:p>
    <w:p w:rsidR="00287B92" w:rsidRDefault="00E86A76" w:rsidP="002F76F0">
      <w:pPr>
        <w:numPr>
          <w:ilvl w:val="0"/>
          <w:numId w:val="2"/>
        </w:numPr>
      </w:pPr>
      <w:r>
        <w:t>Rozsah odpadu, jehož se předmět smlouvy týká, je stanoven tímto výčtem</w:t>
      </w:r>
      <w:r w:rsidR="00287B92">
        <w:t>:</w:t>
      </w:r>
    </w:p>
    <w:p w:rsidR="00287B92" w:rsidRDefault="00287B92" w:rsidP="00287B92">
      <w:pPr>
        <w:pStyle w:val="ListParagraph"/>
      </w:pPr>
    </w:p>
    <w:p w:rsidR="00E86A76" w:rsidRDefault="00C80C88" w:rsidP="002F76F0">
      <w:pPr>
        <w:numPr>
          <w:ilvl w:val="1"/>
          <w:numId w:val="2"/>
        </w:numPr>
      </w:pPr>
      <w:r>
        <w:t xml:space="preserve"> </w:t>
      </w:r>
      <w:r w:rsidR="00287B92">
        <w:t xml:space="preserve">Směsný komunální odpad </w:t>
      </w:r>
      <w:r>
        <w:t>(</w:t>
      </w:r>
      <w:r w:rsidR="00287B92">
        <w:t>dále také „směsný odpad“)</w:t>
      </w:r>
      <w:r w:rsidR="00E86A76">
        <w:t>:</w:t>
      </w:r>
    </w:p>
    <w:p w:rsidR="00287B92" w:rsidRDefault="00287B92" w:rsidP="00287B92">
      <w:pPr>
        <w:ind w:left="1440"/>
      </w:pPr>
    </w:p>
    <w:p w:rsidR="00287B92" w:rsidRPr="00D15C0E" w:rsidRDefault="00287B92" w:rsidP="00287B92">
      <w:r>
        <w:t>Tabulka č.1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36"/>
        <w:gridCol w:w="917"/>
      </w:tblGrid>
      <w:tr w:rsidR="00D15C0E" w:rsidRPr="007838CE" w:rsidTr="007838CE">
        <w:trPr>
          <w:trHeight w:val="996"/>
        </w:trPr>
        <w:tc>
          <w:tcPr>
            <w:tcW w:w="1707" w:type="dxa"/>
            <w:shd w:val="clear" w:color="auto" w:fill="auto"/>
            <w:vAlign w:val="center"/>
          </w:tcPr>
          <w:p w:rsidR="00D15C0E" w:rsidRPr="007838CE" w:rsidRDefault="00D15C0E" w:rsidP="007838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Katalogové</w:t>
            </w:r>
            <w:r w:rsidRPr="007838CE">
              <w:rPr>
                <w:rFonts w:ascii="Arial" w:hAnsi="Arial" w:cs="Arial"/>
                <w:b/>
                <w:sz w:val="22"/>
                <w:szCs w:val="22"/>
              </w:rPr>
              <w:br/>
              <w:t>číslo odpadu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D15C0E" w:rsidRPr="007838CE" w:rsidRDefault="00D15C0E" w:rsidP="007838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Název odpadu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15C0E" w:rsidRPr="007838CE" w:rsidRDefault="00D15C0E" w:rsidP="007838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Kat.</w:t>
            </w:r>
          </w:p>
        </w:tc>
      </w:tr>
      <w:tr w:rsidR="00D15C0E" w:rsidRPr="007838CE" w:rsidTr="007838CE">
        <w:trPr>
          <w:trHeight w:val="288"/>
        </w:trPr>
        <w:tc>
          <w:tcPr>
            <w:tcW w:w="1707" w:type="dxa"/>
            <w:shd w:val="clear" w:color="auto" w:fill="auto"/>
          </w:tcPr>
          <w:p w:rsidR="00D15C0E" w:rsidRPr="007838CE" w:rsidRDefault="00D15C0E" w:rsidP="007838C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200301</w:t>
            </w:r>
          </w:p>
        </w:tc>
        <w:tc>
          <w:tcPr>
            <w:tcW w:w="7036" w:type="dxa"/>
            <w:shd w:val="clear" w:color="auto" w:fill="auto"/>
          </w:tcPr>
          <w:p w:rsidR="00D15C0E" w:rsidRPr="007838CE" w:rsidRDefault="0091761D" w:rsidP="0091761D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Směsný komunální odpad</w:t>
            </w:r>
          </w:p>
        </w:tc>
        <w:tc>
          <w:tcPr>
            <w:tcW w:w="917" w:type="dxa"/>
            <w:shd w:val="clear" w:color="auto" w:fill="auto"/>
          </w:tcPr>
          <w:p w:rsidR="00D15C0E" w:rsidRPr="007838CE" w:rsidRDefault="0091761D" w:rsidP="007838C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</w:tbl>
    <w:p w:rsidR="00E95024" w:rsidRDefault="00E95024" w:rsidP="0091761D"/>
    <w:p w:rsidR="00AC14D2" w:rsidRDefault="00AC14D2" w:rsidP="0091761D"/>
    <w:p w:rsidR="00287B92" w:rsidRDefault="00287B92" w:rsidP="002F76F0">
      <w:pPr>
        <w:numPr>
          <w:ilvl w:val="1"/>
          <w:numId w:val="2"/>
        </w:numPr>
      </w:pPr>
      <w:r>
        <w:t>Separovaný komunální odpad (dále také „separovaný odpad“):</w:t>
      </w:r>
    </w:p>
    <w:p w:rsidR="00287B92" w:rsidRDefault="00287B92" w:rsidP="00287B92">
      <w:pPr>
        <w:ind w:left="1440"/>
      </w:pPr>
    </w:p>
    <w:p w:rsidR="00287B92" w:rsidRPr="00D15C0E" w:rsidRDefault="00287B92" w:rsidP="00287B92">
      <w:r>
        <w:t>Tabulka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36"/>
        <w:gridCol w:w="917"/>
      </w:tblGrid>
      <w:tr w:rsidR="00287B92" w:rsidRPr="007838CE" w:rsidTr="00041CDE">
        <w:trPr>
          <w:trHeight w:val="996"/>
        </w:trPr>
        <w:tc>
          <w:tcPr>
            <w:tcW w:w="1707" w:type="dxa"/>
            <w:shd w:val="clear" w:color="auto" w:fill="auto"/>
            <w:vAlign w:val="center"/>
          </w:tcPr>
          <w:p w:rsidR="00287B92" w:rsidRPr="007838CE" w:rsidRDefault="00287B92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Katalogové</w:t>
            </w:r>
            <w:r w:rsidRPr="007838CE">
              <w:rPr>
                <w:rFonts w:ascii="Arial" w:hAnsi="Arial" w:cs="Arial"/>
                <w:b/>
                <w:sz w:val="22"/>
                <w:szCs w:val="22"/>
              </w:rPr>
              <w:br/>
              <w:t>číslo odpadu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287B92" w:rsidRPr="007838CE" w:rsidRDefault="00287B92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Název odpadu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87B92" w:rsidRPr="007838CE" w:rsidRDefault="00287B92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Kat.</w:t>
            </w:r>
          </w:p>
        </w:tc>
      </w:tr>
      <w:tr w:rsidR="00287B92" w:rsidRPr="007838CE" w:rsidTr="00041CDE">
        <w:trPr>
          <w:trHeight w:val="288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150101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Papírové a lepenkové obaly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  <w:tr w:rsidR="00287B92" w:rsidRPr="007838CE" w:rsidTr="00041CDE">
        <w:trPr>
          <w:trHeight w:val="272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150102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Plastové obaly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  <w:tr w:rsidR="00287B92" w:rsidRPr="007838CE" w:rsidTr="00041CDE">
        <w:trPr>
          <w:trHeight w:val="288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150105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Kompozitní obaly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  <w:tr w:rsidR="00287B92" w:rsidRPr="007838CE" w:rsidTr="00041CDE">
        <w:trPr>
          <w:trHeight w:val="272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150107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Skleněné obaly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  <w:tr w:rsidR="00287B92" w:rsidRPr="007838CE" w:rsidTr="00041CDE">
        <w:trPr>
          <w:trHeight w:val="272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200201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Biologicky rozložitelný odpad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</w:tbl>
    <w:p w:rsidR="00287B92" w:rsidRDefault="00287B92" w:rsidP="00287B92"/>
    <w:p w:rsidR="00AC14D2" w:rsidRDefault="00AC14D2" w:rsidP="00287B92"/>
    <w:p w:rsidR="00287B92" w:rsidRDefault="00287B92" w:rsidP="002F76F0">
      <w:pPr>
        <w:numPr>
          <w:ilvl w:val="1"/>
          <w:numId w:val="2"/>
        </w:numPr>
      </w:pPr>
      <w:r>
        <w:t>Ostatní komunální odpad (dále také „ostatní odpad“):</w:t>
      </w:r>
    </w:p>
    <w:p w:rsidR="00287B92" w:rsidRDefault="00287B92" w:rsidP="00287B92">
      <w:pPr>
        <w:ind w:left="1440"/>
      </w:pPr>
    </w:p>
    <w:p w:rsidR="00287B92" w:rsidRPr="00D15C0E" w:rsidRDefault="00287B92" w:rsidP="00287B92">
      <w:r>
        <w:t>Tabulka č.3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36"/>
        <w:gridCol w:w="917"/>
      </w:tblGrid>
      <w:tr w:rsidR="00287B92" w:rsidRPr="007838CE" w:rsidTr="00041CDE">
        <w:trPr>
          <w:trHeight w:val="996"/>
        </w:trPr>
        <w:tc>
          <w:tcPr>
            <w:tcW w:w="1707" w:type="dxa"/>
            <w:shd w:val="clear" w:color="auto" w:fill="auto"/>
            <w:vAlign w:val="center"/>
          </w:tcPr>
          <w:p w:rsidR="00287B92" w:rsidRPr="007838CE" w:rsidRDefault="00287B92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Katalogové</w:t>
            </w:r>
            <w:r w:rsidRPr="007838CE">
              <w:rPr>
                <w:rFonts w:ascii="Arial" w:hAnsi="Arial" w:cs="Arial"/>
                <w:b/>
                <w:sz w:val="22"/>
                <w:szCs w:val="22"/>
              </w:rPr>
              <w:br/>
              <w:t>číslo odpadu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287B92" w:rsidRPr="007838CE" w:rsidRDefault="00287B92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Název odpadu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87B92" w:rsidRPr="007838CE" w:rsidRDefault="00287B92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Kat.</w:t>
            </w:r>
          </w:p>
        </w:tc>
      </w:tr>
      <w:tr w:rsidR="00287B92" w:rsidRPr="007838CE" w:rsidTr="00041CDE">
        <w:trPr>
          <w:trHeight w:val="288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160103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Pneumatiky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  <w:tr w:rsidR="00287B92" w:rsidRPr="007838CE" w:rsidTr="00041CDE">
        <w:trPr>
          <w:trHeight w:val="272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170201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Dřevo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  <w:tr w:rsidR="00287B92" w:rsidRPr="007838CE" w:rsidTr="00041CDE">
        <w:trPr>
          <w:trHeight w:val="288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200138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Dřevo neuvedené pod číslem 20 01 37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  <w:tr w:rsidR="00287B92" w:rsidRPr="007838CE" w:rsidTr="00041CDE">
        <w:trPr>
          <w:trHeight w:val="288"/>
        </w:trPr>
        <w:tc>
          <w:tcPr>
            <w:tcW w:w="170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200307</w:t>
            </w:r>
          </w:p>
        </w:tc>
        <w:tc>
          <w:tcPr>
            <w:tcW w:w="7036" w:type="dxa"/>
            <w:shd w:val="clear" w:color="auto" w:fill="auto"/>
          </w:tcPr>
          <w:p w:rsidR="00287B92" w:rsidRPr="007838CE" w:rsidRDefault="00287B92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Objemný odpad</w:t>
            </w:r>
          </w:p>
        </w:tc>
        <w:tc>
          <w:tcPr>
            <w:tcW w:w="917" w:type="dxa"/>
            <w:shd w:val="clear" w:color="auto" w:fill="auto"/>
          </w:tcPr>
          <w:p w:rsidR="00287B92" w:rsidRPr="007838CE" w:rsidRDefault="00287B92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</w:t>
            </w:r>
          </w:p>
        </w:tc>
      </w:tr>
    </w:tbl>
    <w:p w:rsidR="00BC08E1" w:rsidRDefault="00BC08E1" w:rsidP="00287B92"/>
    <w:p w:rsidR="00BC08E1" w:rsidRDefault="00BC08E1" w:rsidP="00287B92"/>
    <w:p w:rsidR="00FC7C26" w:rsidRDefault="00FC7C26" w:rsidP="00287B92"/>
    <w:p w:rsidR="00BC08E1" w:rsidRDefault="00BC08E1" w:rsidP="002F76F0">
      <w:pPr>
        <w:numPr>
          <w:ilvl w:val="1"/>
          <w:numId w:val="2"/>
        </w:numPr>
      </w:pPr>
      <w:r>
        <w:lastRenderedPageBreak/>
        <w:t>Nebezpečný</w:t>
      </w:r>
      <w:r w:rsidR="00287B92">
        <w:t xml:space="preserve"> odpad:</w:t>
      </w:r>
    </w:p>
    <w:p w:rsidR="00BC08E1" w:rsidRDefault="00BC08E1" w:rsidP="00BC08E1">
      <w:pPr>
        <w:ind w:left="1440"/>
      </w:pPr>
    </w:p>
    <w:p w:rsidR="00C80C88" w:rsidRPr="00D15C0E" w:rsidRDefault="00BC08E1" w:rsidP="00BC08E1">
      <w:r>
        <w:t>Tabulka č.4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036"/>
        <w:gridCol w:w="917"/>
      </w:tblGrid>
      <w:tr w:rsidR="00C80C88" w:rsidRPr="007838CE" w:rsidTr="00041CDE">
        <w:trPr>
          <w:trHeight w:val="996"/>
        </w:trPr>
        <w:tc>
          <w:tcPr>
            <w:tcW w:w="1707" w:type="dxa"/>
            <w:shd w:val="clear" w:color="auto" w:fill="auto"/>
            <w:vAlign w:val="center"/>
          </w:tcPr>
          <w:p w:rsidR="00C80C88" w:rsidRPr="007838CE" w:rsidRDefault="00C80C88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Katalogové</w:t>
            </w:r>
            <w:r w:rsidRPr="007838CE">
              <w:rPr>
                <w:rFonts w:ascii="Arial" w:hAnsi="Arial" w:cs="Arial"/>
                <w:b/>
                <w:sz w:val="22"/>
                <w:szCs w:val="22"/>
              </w:rPr>
              <w:br/>
              <w:t>číslo odpadu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C80C88" w:rsidRPr="007838CE" w:rsidRDefault="00C80C88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Název odpadu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0C88" w:rsidRPr="007838CE" w:rsidRDefault="00C80C88" w:rsidP="00041C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8CE">
              <w:rPr>
                <w:rFonts w:ascii="Arial" w:hAnsi="Arial" w:cs="Arial"/>
                <w:b/>
                <w:sz w:val="22"/>
                <w:szCs w:val="22"/>
              </w:rPr>
              <w:t>Kat.</w:t>
            </w:r>
          </w:p>
        </w:tc>
      </w:tr>
      <w:tr w:rsidR="00C80C88" w:rsidRPr="007838CE" w:rsidTr="00041CDE">
        <w:trPr>
          <w:trHeight w:val="288"/>
        </w:trPr>
        <w:tc>
          <w:tcPr>
            <w:tcW w:w="170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020108</w:t>
            </w:r>
          </w:p>
        </w:tc>
        <w:tc>
          <w:tcPr>
            <w:tcW w:w="7036" w:type="dxa"/>
            <w:shd w:val="clear" w:color="auto" w:fill="auto"/>
          </w:tcPr>
          <w:p w:rsidR="00C80C88" w:rsidRPr="007838CE" w:rsidRDefault="00C80C88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Agrochemické odpady obsahující nebezpečné látky</w:t>
            </w:r>
          </w:p>
        </w:tc>
        <w:tc>
          <w:tcPr>
            <w:tcW w:w="91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N</w:t>
            </w:r>
          </w:p>
        </w:tc>
      </w:tr>
      <w:tr w:rsidR="00C80C88" w:rsidRPr="007838CE" w:rsidTr="00041CDE">
        <w:trPr>
          <w:trHeight w:val="272"/>
        </w:trPr>
        <w:tc>
          <w:tcPr>
            <w:tcW w:w="170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130207</w:t>
            </w:r>
          </w:p>
        </w:tc>
        <w:tc>
          <w:tcPr>
            <w:tcW w:w="7036" w:type="dxa"/>
            <w:shd w:val="clear" w:color="auto" w:fill="auto"/>
          </w:tcPr>
          <w:p w:rsidR="00C80C88" w:rsidRPr="007838CE" w:rsidRDefault="00C80C88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Snadno biologicky rozložitelné motorové, převodové a mazací oleje</w:t>
            </w:r>
          </w:p>
        </w:tc>
        <w:tc>
          <w:tcPr>
            <w:tcW w:w="91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N</w:t>
            </w:r>
          </w:p>
        </w:tc>
      </w:tr>
      <w:tr w:rsidR="00C80C88" w:rsidRPr="007838CE" w:rsidTr="00041CDE">
        <w:trPr>
          <w:trHeight w:val="577"/>
        </w:trPr>
        <w:tc>
          <w:tcPr>
            <w:tcW w:w="170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150110</w:t>
            </w:r>
          </w:p>
        </w:tc>
        <w:tc>
          <w:tcPr>
            <w:tcW w:w="7036" w:type="dxa"/>
            <w:shd w:val="clear" w:color="auto" w:fill="auto"/>
          </w:tcPr>
          <w:p w:rsidR="00C80C88" w:rsidRPr="007838CE" w:rsidRDefault="00C80C88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Obaly obsahující zbytky nebezpečných látek nebo obaly těmito látkami znečištěné</w:t>
            </w:r>
          </w:p>
        </w:tc>
        <w:tc>
          <w:tcPr>
            <w:tcW w:w="91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N</w:t>
            </w:r>
          </w:p>
        </w:tc>
      </w:tr>
      <w:tr w:rsidR="00C80C88" w:rsidRPr="007838CE" w:rsidTr="00041CDE">
        <w:trPr>
          <w:trHeight w:val="848"/>
        </w:trPr>
        <w:tc>
          <w:tcPr>
            <w:tcW w:w="170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150202</w:t>
            </w:r>
          </w:p>
        </w:tc>
        <w:tc>
          <w:tcPr>
            <w:tcW w:w="7036" w:type="dxa"/>
            <w:shd w:val="clear" w:color="auto" w:fill="auto"/>
          </w:tcPr>
          <w:p w:rsidR="00C80C88" w:rsidRPr="007838CE" w:rsidRDefault="00C80C88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  <w:tc>
          <w:tcPr>
            <w:tcW w:w="91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N</w:t>
            </w:r>
          </w:p>
        </w:tc>
      </w:tr>
      <w:tr w:rsidR="00C80C88" w:rsidRPr="007838CE" w:rsidTr="00041CDE">
        <w:trPr>
          <w:trHeight w:val="272"/>
        </w:trPr>
        <w:tc>
          <w:tcPr>
            <w:tcW w:w="170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160113</w:t>
            </w:r>
          </w:p>
        </w:tc>
        <w:tc>
          <w:tcPr>
            <w:tcW w:w="7036" w:type="dxa"/>
            <w:shd w:val="clear" w:color="auto" w:fill="auto"/>
          </w:tcPr>
          <w:p w:rsidR="00C80C88" w:rsidRPr="007838CE" w:rsidRDefault="00C80C88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Brzdové kapaliny</w:t>
            </w:r>
          </w:p>
        </w:tc>
        <w:tc>
          <w:tcPr>
            <w:tcW w:w="91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N</w:t>
            </w:r>
          </w:p>
        </w:tc>
      </w:tr>
      <w:tr w:rsidR="00C80C88" w:rsidRPr="007838CE" w:rsidTr="00041CDE">
        <w:trPr>
          <w:trHeight w:val="288"/>
        </w:trPr>
        <w:tc>
          <w:tcPr>
            <w:tcW w:w="170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200113</w:t>
            </w:r>
          </w:p>
        </w:tc>
        <w:tc>
          <w:tcPr>
            <w:tcW w:w="7036" w:type="dxa"/>
            <w:shd w:val="clear" w:color="auto" w:fill="auto"/>
          </w:tcPr>
          <w:p w:rsidR="00C80C88" w:rsidRPr="007838CE" w:rsidRDefault="00C80C88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Rozpouštědla</w:t>
            </w:r>
          </w:p>
        </w:tc>
        <w:tc>
          <w:tcPr>
            <w:tcW w:w="91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N</w:t>
            </w:r>
          </w:p>
        </w:tc>
      </w:tr>
      <w:tr w:rsidR="00C80C88" w:rsidRPr="007838CE" w:rsidTr="00041CDE">
        <w:trPr>
          <w:trHeight w:val="272"/>
        </w:trPr>
        <w:tc>
          <w:tcPr>
            <w:tcW w:w="170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200127</w:t>
            </w:r>
          </w:p>
        </w:tc>
        <w:tc>
          <w:tcPr>
            <w:tcW w:w="7036" w:type="dxa"/>
            <w:shd w:val="clear" w:color="auto" w:fill="auto"/>
          </w:tcPr>
          <w:p w:rsidR="00C80C88" w:rsidRPr="007838CE" w:rsidRDefault="00C80C88" w:rsidP="00041CDE">
            <w:pPr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Barvy, tiskařské barvy, lepidla a pryskyřice obsahující nebezpečné látky</w:t>
            </w:r>
          </w:p>
        </w:tc>
        <w:tc>
          <w:tcPr>
            <w:tcW w:w="917" w:type="dxa"/>
            <w:shd w:val="clear" w:color="auto" w:fill="auto"/>
          </w:tcPr>
          <w:p w:rsidR="00C80C88" w:rsidRPr="007838CE" w:rsidRDefault="00C80C88" w:rsidP="00041CDE">
            <w:pPr>
              <w:jc w:val="center"/>
              <w:rPr>
                <w:sz w:val="22"/>
                <w:szCs w:val="22"/>
              </w:rPr>
            </w:pPr>
            <w:r w:rsidRPr="007838CE">
              <w:rPr>
                <w:sz w:val="22"/>
                <w:szCs w:val="22"/>
              </w:rPr>
              <w:t>N</w:t>
            </w:r>
          </w:p>
        </w:tc>
      </w:tr>
    </w:tbl>
    <w:p w:rsidR="00C80C88" w:rsidRDefault="00C80C88" w:rsidP="00C80C88"/>
    <w:p w:rsidR="002B2CF9" w:rsidRDefault="002B2CF9" w:rsidP="002F76F0">
      <w:pPr>
        <w:numPr>
          <w:ilvl w:val="0"/>
          <w:numId w:val="2"/>
        </w:numPr>
      </w:pPr>
      <w:r>
        <w:t xml:space="preserve">Způsob nakládání s odpady, </w:t>
      </w:r>
      <w:r w:rsidR="00BB012D">
        <w:t xml:space="preserve">a to </w:t>
      </w:r>
      <w:r>
        <w:t xml:space="preserve">zejména typ nádob na </w:t>
      </w:r>
      <w:r w:rsidR="00BB012D">
        <w:t xml:space="preserve">sběr </w:t>
      </w:r>
      <w:r>
        <w:t>odpad</w:t>
      </w:r>
      <w:r w:rsidR="00BB012D">
        <w:t>u</w:t>
      </w:r>
      <w:r w:rsidR="002A0EAE">
        <w:t xml:space="preserve"> (dále jen „nádoba“)</w:t>
      </w:r>
      <w:r>
        <w:t xml:space="preserve">, </w:t>
      </w:r>
      <w:r w:rsidR="001D5940">
        <w:t xml:space="preserve">počet a stanoviště nádob, </w:t>
      </w:r>
      <w:r>
        <w:t xml:space="preserve">vlastnictví nádoby, četnost </w:t>
      </w:r>
      <w:r w:rsidR="00BB012D">
        <w:t>a</w:t>
      </w:r>
      <w:r>
        <w:t xml:space="preserve"> období svozu </w:t>
      </w:r>
      <w:r w:rsidR="00BB012D">
        <w:t>odpadu</w:t>
      </w:r>
      <w:r w:rsidR="008439B0">
        <w:t>,</w:t>
      </w:r>
      <w:r w:rsidR="00BB012D">
        <w:t xml:space="preserve"> </w:t>
      </w:r>
      <w:r>
        <w:t xml:space="preserve">je stanoven </w:t>
      </w:r>
      <w:r w:rsidRPr="002F76F0">
        <w:t xml:space="preserve">v příloze č. </w:t>
      </w:r>
      <w:r w:rsidR="002B6ECC" w:rsidRPr="002F76F0">
        <w:t>1</w:t>
      </w:r>
      <w:r w:rsidRPr="00683471">
        <w:t>,</w:t>
      </w:r>
      <w:r>
        <w:t xml:space="preserve"> která je nedílnou </w:t>
      </w:r>
      <w:r w:rsidR="00F96164">
        <w:t>součástí</w:t>
      </w:r>
      <w:r>
        <w:t xml:space="preserve"> této smlouvy.</w:t>
      </w:r>
      <w:r w:rsidR="001D5940">
        <w:t xml:space="preserve"> Stanoviště, která nejsou uvedena v příloze č.1, </w:t>
      </w:r>
      <w:r w:rsidR="00F96164">
        <w:t>budou</w:t>
      </w:r>
      <w:r w:rsidR="001D5940">
        <w:t xml:space="preserve"> určena dohodou obou </w:t>
      </w:r>
      <w:r w:rsidR="00E70355">
        <w:t xml:space="preserve">smluvních </w:t>
      </w:r>
      <w:r w:rsidR="001D5940">
        <w:t>stran.</w:t>
      </w:r>
    </w:p>
    <w:p w:rsidR="00187543" w:rsidRDefault="00187543" w:rsidP="00187543">
      <w:pPr>
        <w:ind w:left="720"/>
      </w:pPr>
    </w:p>
    <w:p w:rsidR="00E86A76" w:rsidRDefault="00E86A76" w:rsidP="0091761D"/>
    <w:p w:rsidR="002A30A1" w:rsidRDefault="002A30A1" w:rsidP="008839D2">
      <w:pPr>
        <w:jc w:val="center"/>
        <w:rPr>
          <w:b/>
        </w:rPr>
      </w:pPr>
      <w:r>
        <w:rPr>
          <w:b/>
        </w:rPr>
        <w:t xml:space="preserve">Čl. </w:t>
      </w:r>
      <w:r w:rsidR="008839D2" w:rsidRPr="002A30A1">
        <w:rPr>
          <w:b/>
        </w:rPr>
        <w:t>I</w:t>
      </w:r>
      <w:r w:rsidR="002B6ECC">
        <w:rPr>
          <w:b/>
        </w:rPr>
        <w:t>I</w:t>
      </w:r>
      <w:r w:rsidR="008839D2" w:rsidRPr="002A30A1">
        <w:rPr>
          <w:b/>
        </w:rPr>
        <w:t xml:space="preserve"> </w:t>
      </w:r>
    </w:p>
    <w:p w:rsidR="008839D2" w:rsidRPr="002A30A1" w:rsidRDefault="008839D2" w:rsidP="008839D2">
      <w:pPr>
        <w:jc w:val="center"/>
        <w:rPr>
          <w:b/>
        </w:rPr>
      </w:pPr>
      <w:r w:rsidRPr="002A30A1">
        <w:rPr>
          <w:b/>
        </w:rPr>
        <w:t xml:space="preserve">Práva a povinnosti </w:t>
      </w:r>
      <w:r w:rsidR="00E86A76" w:rsidRPr="002A30A1">
        <w:rPr>
          <w:b/>
        </w:rPr>
        <w:t>oprávněné osoby</w:t>
      </w:r>
    </w:p>
    <w:p w:rsidR="008839D2" w:rsidRDefault="008839D2" w:rsidP="008839D2"/>
    <w:p w:rsidR="008839D2" w:rsidRDefault="00BB012D" w:rsidP="002F76F0">
      <w:pPr>
        <w:numPr>
          <w:ilvl w:val="0"/>
          <w:numId w:val="3"/>
        </w:numPr>
      </w:pPr>
      <w:r>
        <w:t>O</w:t>
      </w:r>
      <w:r w:rsidR="008839D2">
        <w:t>právněná o</w:t>
      </w:r>
      <w:r w:rsidR="00A31FCD">
        <w:t>s</w:t>
      </w:r>
      <w:r w:rsidR="008839D2">
        <w:t xml:space="preserve">oba </w:t>
      </w:r>
      <w:r w:rsidR="002A0EAE">
        <w:t>je povinna</w:t>
      </w:r>
      <w:r w:rsidR="008839D2">
        <w:t>:</w:t>
      </w:r>
    </w:p>
    <w:p w:rsidR="009C138B" w:rsidRDefault="009C138B" w:rsidP="008839D2"/>
    <w:p w:rsidR="008839D2" w:rsidRDefault="008839D2" w:rsidP="002F76F0">
      <w:pPr>
        <w:numPr>
          <w:ilvl w:val="0"/>
          <w:numId w:val="4"/>
        </w:numPr>
        <w:spacing w:after="120"/>
        <w:ind w:left="1068"/>
      </w:pPr>
      <w:r>
        <w:t>Zajiš</w:t>
      </w:r>
      <w:r w:rsidR="002A0EAE">
        <w:t>ťovat</w:t>
      </w:r>
      <w:r>
        <w:t xml:space="preserve"> </w:t>
      </w:r>
      <w:r w:rsidR="009C138B">
        <w:t>o</w:t>
      </w:r>
      <w:r>
        <w:t>prav</w:t>
      </w:r>
      <w:r w:rsidR="002A0EAE">
        <w:t>y</w:t>
      </w:r>
      <w:r>
        <w:t xml:space="preserve"> nebo výměn</w:t>
      </w:r>
      <w:r w:rsidR="002A0EAE">
        <w:t>y</w:t>
      </w:r>
      <w:r>
        <w:t xml:space="preserve"> nefunkčních nádob, které jsou ve vlastnictví </w:t>
      </w:r>
      <w:r w:rsidR="00EE751E">
        <w:t>oprávněné osoby</w:t>
      </w:r>
      <w:r>
        <w:t xml:space="preserve"> </w:t>
      </w:r>
      <w:r w:rsidR="009328F4">
        <w:t>v přiměřené lhůtě.</w:t>
      </w:r>
    </w:p>
    <w:p w:rsidR="008839D2" w:rsidRDefault="008839D2" w:rsidP="002F76F0">
      <w:pPr>
        <w:numPr>
          <w:ilvl w:val="0"/>
          <w:numId w:val="4"/>
        </w:numPr>
        <w:spacing w:after="120"/>
        <w:ind w:left="1068"/>
      </w:pPr>
      <w:r>
        <w:t>Odstra</w:t>
      </w:r>
      <w:r w:rsidR="002A0EAE">
        <w:t>ňovat</w:t>
      </w:r>
      <w:r>
        <w:t xml:space="preserve"> znečištění komunikace</w:t>
      </w:r>
      <w:r w:rsidR="008439B0">
        <w:t xml:space="preserve"> a stanoviště odpadových nádob</w:t>
      </w:r>
      <w:r>
        <w:t xml:space="preserve">, k němuž došlo </w:t>
      </w:r>
      <w:r w:rsidR="00EE751E">
        <w:t>v souvislosti s</w:t>
      </w:r>
      <w:r>
        <w:t xml:space="preserve"> vyprazdňování</w:t>
      </w:r>
      <w:r w:rsidR="00EE751E">
        <w:t>m</w:t>
      </w:r>
      <w:r>
        <w:t xml:space="preserve"> nádob</w:t>
      </w:r>
      <w:r w:rsidR="00EE751E">
        <w:t>, a to neprodleně</w:t>
      </w:r>
      <w:r w:rsidR="009C138B">
        <w:t xml:space="preserve"> </w:t>
      </w:r>
      <w:r w:rsidR="00EE751E">
        <w:t>po vyprázdnění nádoby a uložení</w:t>
      </w:r>
      <w:r>
        <w:t xml:space="preserve"> nádoby na původní</w:t>
      </w:r>
      <w:r w:rsidR="009C138B">
        <w:t xml:space="preserve"> </w:t>
      </w:r>
      <w:r>
        <w:t>stanoviště.</w:t>
      </w:r>
    </w:p>
    <w:p w:rsidR="008839D2" w:rsidRDefault="00EE751E" w:rsidP="002F76F0">
      <w:pPr>
        <w:numPr>
          <w:ilvl w:val="0"/>
          <w:numId w:val="4"/>
        </w:numPr>
        <w:spacing w:after="120"/>
        <w:ind w:left="1068"/>
      </w:pPr>
      <w:r>
        <w:t>O</w:t>
      </w:r>
      <w:r w:rsidR="008839D2">
        <w:t>dstra</w:t>
      </w:r>
      <w:r w:rsidR="002A0EAE">
        <w:t>ňovat</w:t>
      </w:r>
      <w:r w:rsidR="008839D2">
        <w:t xml:space="preserve"> odpad volně uložen</w:t>
      </w:r>
      <w:r w:rsidR="002A0EAE">
        <w:t>ý</w:t>
      </w:r>
      <w:r w:rsidR="008839D2">
        <w:t xml:space="preserve"> </w:t>
      </w:r>
      <w:r w:rsidR="00B1556D">
        <w:t xml:space="preserve">na stanovišti </w:t>
      </w:r>
      <w:r w:rsidR="008839D2">
        <w:t>mimo odpadové nádoby v důsledku jejich přeplnění.</w:t>
      </w:r>
    </w:p>
    <w:p w:rsidR="009C138B" w:rsidRDefault="008839D2" w:rsidP="002F76F0">
      <w:pPr>
        <w:numPr>
          <w:ilvl w:val="0"/>
          <w:numId w:val="4"/>
        </w:numPr>
        <w:spacing w:after="120"/>
        <w:ind w:left="1068"/>
      </w:pPr>
      <w:r>
        <w:t>V</w:t>
      </w:r>
      <w:r w:rsidR="00E33C8F">
        <w:t>yprázdn</w:t>
      </w:r>
      <w:r w:rsidR="002A0EAE">
        <w:t>it</w:t>
      </w:r>
      <w:r w:rsidR="00E33C8F">
        <w:t xml:space="preserve"> nádoby nejpozději do 24 hod následujícího dne v </w:t>
      </w:r>
      <w:r>
        <w:t xml:space="preserve">případě, že </w:t>
      </w:r>
      <w:r w:rsidR="00E33C8F">
        <w:t>n</w:t>
      </w:r>
      <w:r>
        <w:t>ebude moci z</w:t>
      </w:r>
      <w:r w:rsidR="009C138B">
        <w:t xml:space="preserve"> </w:t>
      </w:r>
      <w:r>
        <w:t xml:space="preserve">vážných důvodů </w:t>
      </w:r>
      <w:r w:rsidR="00B13E1A">
        <w:t xml:space="preserve">nádobu </w:t>
      </w:r>
      <w:r>
        <w:t>ve sjednaném termínu vyprázdnit. V případě, že</w:t>
      </w:r>
      <w:r w:rsidR="009C138B">
        <w:t xml:space="preserve"> </w:t>
      </w:r>
      <w:r w:rsidR="00E33C8F">
        <w:t xml:space="preserve">prokáže, že důvody k </w:t>
      </w:r>
      <w:r>
        <w:t xml:space="preserve">nevyprázdnění </w:t>
      </w:r>
      <w:r w:rsidR="00E33C8F">
        <w:t xml:space="preserve">nejsou na </w:t>
      </w:r>
      <w:r w:rsidR="00DA4682">
        <w:t xml:space="preserve">její </w:t>
      </w:r>
      <w:r w:rsidR="00E33C8F">
        <w:t>straně,</w:t>
      </w:r>
      <w:r>
        <w:t xml:space="preserve"> dohodnou obě </w:t>
      </w:r>
      <w:r w:rsidR="00AD2753">
        <w:t xml:space="preserve">smluvní </w:t>
      </w:r>
      <w:r>
        <w:t>strany náhradní termín s</w:t>
      </w:r>
      <w:r w:rsidR="009C138B">
        <w:t>vo</w:t>
      </w:r>
      <w:r>
        <w:t>zu.</w:t>
      </w:r>
    </w:p>
    <w:p w:rsidR="008839D2" w:rsidRDefault="002A0EAE" w:rsidP="002F76F0">
      <w:pPr>
        <w:numPr>
          <w:ilvl w:val="0"/>
          <w:numId w:val="4"/>
        </w:numPr>
        <w:spacing w:after="120"/>
        <w:ind w:left="1068"/>
      </w:pPr>
      <w:r>
        <w:t>Nahradit</w:t>
      </w:r>
      <w:r w:rsidR="00E33C8F">
        <w:t xml:space="preserve"> odpadov</w:t>
      </w:r>
      <w:r>
        <w:t>ou</w:t>
      </w:r>
      <w:r w:rsidR="00E33C8F">
        <w:t xml:space="preserve"> nádob</w:t>
      </w:r>
      <w:r>
        <w:t>u</w:t>
      </w:r>
      <w:r w:rsidR="00E33C8F">
        <w:t xml:space="preserve"> za novou v</w:t>
      </w:r>
      <w:r w:rsidR="008839D2">
        <w:t xml:space="preserve"> případě prokazatelného poškození nádoby </w:t>
      </w:r>
      <w:r w:rsidR="00E33C8F">
        <w:t>oprávněnou osobou</w:t>
      </w:r>
      <w:r w:rsidR="008839D2">
        <w:t>.</w:t>
      </w:r>
    </w:p>
    <w:p w:rsidR="002A0EAE" w:rsidRDefault="002A0EAE" w:rsidP="002F76F0">
      <w:pPr>
        <w:numPr>
          <w:ilvl w:val="0"/>
          <w:numId w:val="4"/>
        </w:numPr>
        <w:spacing w:after="120"/>
        <w:ind w:left="1068"/>
      </w:pPr>
      <w:r>
        <w:t xml:space="preserve">Předávat </w:t>
      </w:r>
      <w:r w:rsidR="006E1D9E" w:rsidRPr="006E1D9E">
        <w:t xml:space="preserve">hlášení o celkové produkci odpadů za rok na základě evidence </w:t>
      </w:r>
      <w:r w:rsidR="00683471">
        <w:t>podle čl. I odst. 1 písm. d</w:t>
      </w:r>
      <w:r>
        <w:t xml:space="preserve">) každoročně vždy do </w:t>
      </w:r>
      <w:r w:rsidR="002B1DEC">
        <w:t xml:space="preserve">31. ledna </w:t>
      </w:r>
      <w:r>
        <w:t>za předchozí kalendářní rok pověřené osobě původce odpadu.</w:t>
      </w:r>
    </w:p>
    <w:p w:rsidR="002B1DEC" w:rsidRDefault="002B1DEC" w:rsidP="002B1DEC">
      <w:pPr>
        <w:numPr>
          <w:ilvl w:val="0"/>
          <w:numId w:val="4"/>
        </w:numPr>
        <w:spacing w:after="120"/>
        <w:ind w:left="1068"/>
      </w:pPr>
      <w:r>
        <w:t xml:space="preserve">Předávat hlášení o celkové produkci odpadů za čtvrtletí na základě evidence podle čl. I odst. 1 písm. d) vždy </w:t>
      </w:r>
      <w:r w:rsidRPr="00FD22F1">
        <w:t xml:space="preserve">do konce </w:t>
      </w:r>
      <w:r>
        <w:t xml:space="preserve">prvního </w:t>
      </w:r>
      <w:r w:rsidRPr="00FD22F1">
        <w:t>měsíce následujícího</w:t>
      </w:r>
      <w:r w:rsidRPr="005A648B">
        <w:t> po uplynutí kalendářního </w:t>
      </w:r>
      <w:r w:rsidRPr="00FD22F1">
        <w:t>čtvrtletí</w:t>
      </w:r>
      <w:r>
        <w:t xml:space="preserve"> pověřené osobě původce odpadu. </w:t>
      </w:r>
    </w:p>
    <w:p w:rsidR="002B1DEC" w:rsidRDefault="002B1DEC" w:rsidP="002B1DEC">
      <w:pPr>
        <w:numPr>
          <w:ilvl w:val="0"/>
          <w:numId w:val="4"/>
        </w:numPr>
        <w:spacing w:after="120"/>
        <w:ind w:left="1068"/>
      </w:pPr>
      <w:r>
        <w:lastRenderedPageBreak/>
        <w:t xml:space="preserve">Předávat výkaz podle čl. I odst. 1 písm. e) čtvrtletně podle požadavků společnosti </w:t>
      </w:r>
      <w:r w:rsidRPr="00DD6705">
        <w:t>EKO</w:t>
      </w:r>
      <w:r w:rsidRPr="00DD6705">
        <w:rPr>
          <w:rFonts w:ascii="MS Mincho" w:eastAsia="MS Mincho" w:hAnsi="MS Mincho" w:cs="MS Mincho" w:hint="eastAsia"/>
        </w:rPr>
        <w:t>‑</w:t>
      </w:r>
      <w:r w:rsidRPr="00DD6705">
        <w:t>KOM, a.s.</w:t>
      </w:r>
      <w:r>
        <w:t xml:space="preserve"> Do výkazu oprávněná osoba uvede všechny obaly, které jí byly předány za účelem jejich využití nebo odstranění. Současně do výkazu zahrne i obaly, které původce odpadu předal dalším osobám. V takovém případě je původce odpadu povinen předat prokazatelným způsobem všechny potřebné informace pro vyplnění výkazu oprávněné osobě (zejména popis odpadu a hmostnost) v přiměřené době.</w:t>
      </w:r>
    </w:p>
    <w:p w:rsidR="008839D2" w:rsidRDefault="008839D2" w:rsidP="008839D2"/>
    <w:p w:rsidR="00013362" w:rsidRDefault="00E33C8F" w:rsidP="002F76F0">
      <w:pPr>
        <w:numPr>
          <w:ilvl w:val="0"/>
          <w:numId w:val="3"/>
        </w:numPr>
      </w:pPr>
      <w:r>
        <w:t>Oprávněná osoba</w:t>
      </w:r>
      <w:r w:rsidR="008839D2">
        <w:t xml:space="preserve"> </w:t>
      </w:r>
      <w:r w:rsidR="001D5940">
        <w:t xml:space="preserve">může </w:t>
      </w:r>
      <w:r w:rsidR="008839D2">
        <w:t>pověřit prov</w:t>
      </w:r>
      <w:r w:rsidR="00DA4682">
        <w:t>áděním</w:t>
      </w:r>
      <w:r w:rsidR="008839D2">
        <w:t xml:space="preserve"> služby</w:t>
      </w:r>
      <w:r w:rsidR="00DA4682">
        <w:t xml:space="preserve"> podle čl. I odst. 1</w:t>
      </w:r>
      <w:r w:rsidR="008839D2">
        <w:t xml:space="preserve"> </w:t>
      </w:r>
      <w:r w:rsidR="001D5940">
        <w:t>poddodavatele</w:t>
      </w:r>
      <w:r w:rsidR="002B1DEC">
        <w:t xml:space="preserve"> </w:t>
      </w:r>
      <w:r w:rsidR="00013362">
        <w:t>za těchto podmínek:</w:t>
      </w:r>
      <w:r w:rsidR="009328F4">
        <w:t xml:space="preserve"> </w:t>
      </w:r>
    </w:p>
    <w:p w:rsidR="00013362" w:rsidRDefault="00013362" w:rsidP="002F76F0">
      <w:pPr>
        <w:ind w:left="720"/>
      </w:pPr>
    </w:p>
    <w:p w:rsidR="002B1DEC" w:rsidRDefault="002B1DEC" w:rsidP="002B1DEC">
      <w:pPr>
        <w:numPr>
          <w:ilvl w:val="1"/>
          <w:numId w:val="3"/>
        </w:numPr>
      </w:pPr>
      <w:r>
        <w:t>Č</w:t>
      </w:r>
      <w:r w:rsidRPr="00692F24">
        <w:t>ást veřejné zakázky nesmí být plněna prostřednictvím poddodavatele, a to svoz směsného komunálního odpadu (katalogové číslo odpadu 200301)</w:t>
      </w:r>
      <w:r>
        <w:t>.</w:t>
      </w:r>
    </w:p>
    <w:p w:rsidR="002B1DEC" w:rsidRDefault="002B1DEC" w:rsidP="002B1DEC">
      <w:pPr>
        <w:ind w:left="1440"/>
      </w:pPr>
    </w:p>
    <w:p w:rsidR="008839D2" w:rsidRDefault="000D4C87" w:rsidP="002F76F0">
      <w:pPr>
        <w:numPr>
          <w:ilvl w:val="1"/>
          <w:numId w:val="3"/>
        </w:numPr>
      </w:pPr>
      <w:r>
        <w:t>Oprávněná osoba</w:t>
      </w:r>
      <w:r w:rsidRPr="000D4C87">
        <w:t xml:space="preserve"> předloží </w:t>
      </w:r>
      <w:r>
        <w:t>původci odpadu</w:t>
      </w:r>
      <w:r w:rsidRPr="000D4C87">
        <w:t xml:space="preserve"> při podpisu smlouvy seznam známých </w:t>
      </w:r>
      <w:r>
        <w:t>pod</w:t>
      </w:r>
      <w:r w:rsidRPr="000D4C87">
        <w:t xml:space="preserve">dodavatelů, kteří se budou podílet na plnění zakázky (včetně identifikačních a kontaktních údajů a vymezení jejich podílu na </w:t>
      </w:r>
      <w:r w:rsidR="001D5940">
        <w:t>předmětu plnění smlouvy</w:t>
      </w:r>
      <w:r w:rsidRPr="000D4C87">
        <w:t xml:space="preserve"> v souladu s nabídkou, kterou podal v rámci zadávacího řízení na veřejnou zakázku)</w:t>
      </w:r>
      <w:r w:rsidR="001D5940">
        <w:t>,</w:t>
      </w:r>
      <w:r w:rsidRPr="000D4C87">
        <w:t xml:space="preserve"> a u nichž </w:t>
      </w:r>
      <w:r w:rsidR="001D5940">
        <w:t>oprávněná osoba</w:t>
      </w:r>
      <w:r w:rsidRPr="000D4C87">
        <w:t xml:space="preserve"> předpokládá, že jim bude uhrazeno víc jak 5 % z celkové ceny za plnění dle této smlouvy.</w:t>
      </w:r>
    </w:p>
    <w:p w:rsidR="00013362" w:rsidRDefault="00013362" w:rsidP="002F76F0">
      <w:pPr>
        <w:ind w:left="1440"/>
      </w:pPr>
    </w:p>
    <w:p w:rsidR="00013362" w:rsidRDefault="00013362" w:rsidP="002F76F0">
      <w:pPr>
        <w:numPr>
          <w:ilvl w:val="1"/>
          <w:numId w:val="3"/>
        </w:numPr>
      </w:pPr>
      <w:r>
        <w:t>Oprávněná osoba</w:t>
      </w:r>
      <w:r w:rsidRPr="00013362">
        <w:t xml:space="preserve"> může měnit </w:t>
      </w:r>
      <w:r>
        <w:t>pod</w:t>
      </w:r>
      <w:r w:rsidRPr="00013362">
        <w:t xml:space="preserve">dodavatele, prostřednictvím kterého prokazoval chybějící část kvalifikace, pouze s předchozím písemným souhlasem </w:t>
      </w:r>
      <w:r>
        <w:t>původce odpadu</w:t>
      </w:r>
      <w:r w:rsidRPr="00013362">
        <w:t xml:space="preserve">. Nový </w:t>
      </w:r>
      <w:r>
        <w:t>pod</w:t>
      </w:r>
      <w:r w:rsidRPr="00013362">
        <w:t xml:space="preserve">dodavatel musí disponovat minimálně stejnou kvalifikací, jakou původní </w:t>
      </w:r>
      <w:r>
        <w:t>pod</w:t>
      </w:r>
      <w:r w:rsidRPr="00013362">
        <w:t xml:space="preserve">dodavatel prokázal za </w:t>
      </w:r>
      <w:r>
        <w:t>oprávněnou osobu</w:t>
      </w:r>
      <w:r w:rsidRPr="00013362">
        <w:t xml:space="preserve">. </w:t>
      </w:r>
      <w:r>
        <w:t>Oprávněná osoba</w:t>
      </w:r>
      <w:r w:rsidRPr="00013362">
        <w:t xml:space="preserve"> musí splňovat kvalifikační předpoklady požadované v zadávací dokumentaci k veřejné zakázce v plném rozsahu po celou dobu </w:t>
      </w:r>
      <w:r w:rsidR="00B13E1A">
        <w:t>poskytování sjednaných služeb</w:t>
      </w:r>
      <w:r w:rsidRPr="00013362">
        <w:t>.</w:t>
      </w:r>
    </w:p>
    <w:p w:rsidR="00013362" w:rsidRDefault="00013362" w:rsidP="002F76F0">
      <w:pPr>
        <w:pStyle w:val="ListParagraph"/>
      </w:pPr>
    </w:p>
    <w:p w:rsidR="00013362" w:rsidRDefault="00013362" w:rsidP="002F76F0">
      <w:pPr>
        <w:numPr>
          <w:ilvl w:val="1"/>
          <w:numId w:val="3"/>
        </w:numPr>
      </w:pPr>
      <w:r>
        <w:t>Oprávněná osoba</w:t>
      </w:r>
      <w:r w:rsidRPr="00013362">
        <w:t xml:space="preserve"> je povin</w:t>
      </w:r>
      <w:r w:rsidR="00F96164">
        <w:t>na</w:t>
      </w:r>
      <w:r w:rsidRPr="00013362">
        <w:t xml:space="preserve"> vést a průběžně aktualizovat reálný seznam všech </w:t>
      </w:r>
      <w:r>
        <w:t>pod</w:t>
      </w:r>
      <w:r w:rsidRPr="00013362">
        <w:t xml:space="preserve">dodavatelů včetně identifikačních a kontaktních údajů a vymezení jejich podílu </w:t>
      </w:r>
      <w:r w:rsidR="00B13E1A">
        <w:t>na předmětu plnění smlouvy</w:t>
      </w:r>
      <w:r w:rsidRPr="00013362">
        <w:t xml:space="preserve">, který na vyžádání předloží </w:t>
      </w:r>
      <w:r w:rsidR="00B13E1A">
        <w:t>původci odpadu</w:t>
      </w:r>
      <w:r w:rsidRPr="00013362">
        <w:t>.</w:t>
      </w:r>
    </w:p>
    <w:p w:rsidR="00B13E1A" w:rsidRDefault="00B13E1A" w:rsidP="002F76F0">
      <w:pPr>
        <w:pStyle w:val="ListParagraph"/>
      </w:pPr>
    </w:p>
    <w:p w:rsidR="008839D2" w:rsidRDefault="00B13E1A" w:rsidP="002F76F0">
      <w:pPr>
        <w:numPr>
          <w:ilvl w:val="1"/>
          <w:numId w:val="3"/>
        </w:numPr>
      </w:pPr>
      <w:r w:rsidRPr="00B13E1A">
        <w:t xml:space="preserve">Pokud </w:t>
      </w:r>
      <w:r>
        <w:t>oprávněná osoba</w:t>
      </w:r>
      <w:r w:rsidRPr="00B13E1A">
        <w:t xml:space="preserve"> nepředloží </w:t>
      </w:r>
      <w:r>
        <w:t xml:space="preserve">původci odpadu </w:t>
      </w:r>
      <w:r w:rsidRPr="00B13E1A">
        <w:t xml:space="preserve"> aktuální seznam </w:t>
      </w:r>
      <w:r>
        <w:t>pod</w:t>
      </w:r>
      <w:r w:rsidRPr="00B13E1A">
        <w:t xml:space="preserve">dodavatelů včetně identifikačních a kontaktních údajů a vymezení jejich podílu na </w:t>
      </w:r>
      <w:r>
        <w:t>předmětu plnění smlouvy</w:t>
      </w:r>
      <w:r w:rsidRPr="00B13E1A">
        <w:t xml:space="preserve"> do 5 pracovních dnů od písemné výzvy </w:t>
      </w:r>
      <w:r>
        <w:t>původce odpadu</w:t>
      </w:r>
      <w:r w:rsidRPr="00B13E1A">
        <w:t>, je povin</w:t>
      </w:r>
      <w:r w:rsidR="00F96164">
        <w:t>n</w:t>
      </w:r>
      <w:r>
        <w:t>a</w:t>
      </w:r>
      <w:r w:rsidRPr="00B13E1A">
        <w:t xml:space="preserve"> uhradit smluvní pokutu ve </w:t>
      </w:r>
      <w:r w:rsidRPr="001C4F31">
        <w:t xml:space="preserve">výši </w:t>
      </w:r>
      <w:r w:rsidR="00973EC2" w:rsidRPr="005071E3">
        <w:t>500,- Kč</w:t>
      </w:r>
      <w:r w:rsidRPr="001C4F31">
        <w:t xml:space="preserve"> za každý</w:t>
      </w:r>
      <w:r w:rsidRPr="00B13E1A">
        <w:t xml:space="preserve"> i započatý den prodlení</w:t>
      </w:r>
      <w:r>
        <w:t>.</w:t>
      </w:r>
    </w:p>
    <w:p w:rsidR="009C138B" w:rsidRDefault="009C138B" w:rsidP="008839D2"/>
    <w:p w:rsidR="001C13A0" w:rsidRDefault="001C13A0" w:rsidP="002F76F0">
      <w:pPr>
        <w:numPr>
          <w:ilvl w:val="0"/>
          <w:numId w:val="3"/>
        </w:numPr>
      </w:pPr>
      <w:r>
        <w:t xml:space="preserve">V případě odpadu, který není předmětem </w:t>
      </w:r>
      <w:r w:rsidR="00AD2753">
        <w:t xml:space="preserve">této </w:t>
      </w:r>
      <w:r>
        <w:t xml:space="preserve">smlouvy, se oprávněná osoba zavazuje zajistit svoz tohoto odpadu </w:t>
      </w:r>
      <w:r w:rsidR="009328F4">
        <w:t>na základě objednávky původce odpadu</w:t>
      </w:r>
      <w:r>
        <w:t>.</w:t>
      </w:r>
    </w:p>
    <w:p w:rsidR="009C138B" w:rsidRDefault="009C138B" w:rsidP="008839D2"/>
    <w:p w:rsidR="009C138B" w:rsidRDefault="009C138B" w:rsidP="008839D2"/>
    <w:p w:rsidR="002A30A1" w:rsidRDefault="002A30A1" w:rsidP="009C138B">
      <w:pPr>
        <w:jc w:val="center"/>
        <w:rPr>
          <w:b/>
        </w:rPr>
      </w:pPr>
      <w:r>
        <w:rPr>
          <w:b/>
        </w:rPr>
        <w:t xml:space="preserve">Čl. </w:t>
      </w:r>
      <w:r w:rsidR="002B6ECC">
        <w:rPr>
          <w:b/>
        </w:rPr>
        <w:t>III</w:t>
      </w:r>
      <w:r w:rsidR="009C138B" w:rsidRPr="002A30A1">
        <w:rPr>
          <w:b/>
        </w:rPr>
        <w:t xml:space="preserve"> </w:t>
      </w:r>
    </w:p>
    <w:p w:rsidR="009C138B" w:rsidRPr="002A30A1" w:rsidRDefault="009C138B" w:rsidP="009C138B">
      <w:pPr>
        <w:jc w:val="center"/>
        <w:rPr>
          <w:b/>
        </w:rPr>
      </w:pPr>
      <w:r w:rsidRPr="002A30A1">
        <w:rPr>
          <w:b/>
        </w:rPr>
        <w:t xml:space="preserve">Práva a povinnosti </w:t>
      </w:r>
      <w:r w:rsidR="00E86A76" w:rsidRPr="002A30A1">
        <w:rPr>
          <w:b/>
        </w:rPr>
        <w:t>původce odpadu</w:t>
      </w:r>
    </w:p>
    <w:p w:rsidR="009C138B" w:rsidRDefault="009C138B" w:rsidP="009C138B"/>
    <w:p w:rsidR="009C138B" w:rsidRDefault="001D2181" w:rsidP="002F76F0">
      <w:pPr>
        <w:numPr>
          <w:ilvl w:val="0"/>
          <w:numId w:val="11"/>
        </w:numPr>
      </w:pPr>
      <w:r>
        <w:t>Původce odpadu</w:t>
      </w:r>
      <w:r w:rsidR="00A31FCD">
        <w:t xml:space="preserve"> </w:t>
      </w:r>
      <w:r w:rsidR="009C138B">
        <w:t>se zavazuje dodržovat následující podmínky</w:t>
      </w:r>
      <w:r w:rsidR="008439B0">
        <w:t xml:space="preserve"> nakládání s odpady</w:t>
      </w:r>
      <w:r w:rsidR="009C138B">
        <w:t>:</w:t>
      </w:r>
    </w:p>
    <w:p w:rsidR="009C138B" w:rsidRDefault="009C138B" w:rsidP="009C138B"/>
    <w:p w:rsidR="009C138B" w:rsidRDefault="002137E9" w:rsidP="002F76F0">
      <w:pPr>
        <w:numPr>
          <w:ilvl w:val="0"/>
          <w:numId w:val="5"/>
        </w:numPr>
        <w:spacing w:after="120"/>
      </w:pPr>
      <w:r>
        <w:t>Zacházet s</w:t>
      </w:r>
      <w:r w:rsidR="009C138B">
        <w:t xml:space="preserve">e svěřenými </w:t>
      </w:r>
      <w:r>
        <w:t xml:space="preserve">odpadovými </w:t>
      </w:r>
      <w:r w:rsidR="009C138B">
        <w:t>nádobami s péčí řádného hospodáře.</w:t>
      </w:r>
    </w:p>
    <w:p w:rsidR="009C138B" w:rsidRDefault="009C138B" w:rsidP="002F76F0">
      <w:pPr>
        <w:numPr>
          <w:ilvl w:val="0"/>
          <w:numId w:val="5"/>
        </w:numPr>
        <w:spacing w:after="120"/>
      </w:pPr>
      <w:r>
        <w:t xml:space="preserve">Umožnit </w:t>
      </w:r>
      <w:r w:rsidR="002137E9">
        <w:t>oprávněné osobě</w:t>
      </w:r>
      <w:r>
        <w:t xml:space="preserve"> volný přístup k nádobám v termínu plánovaného</w:t>
      </w:r>
      <w:r w:rsidR="002137E9">
        <w:t xml:space="preserve"> svozu</w:t>
      </w:r>
      <w:r>
        <w:t xml:space="preserve"> a zajistit</w:t>
      </w:r>
      <w:r w:rsidR="00A31FCD">
        <w:t xml:space="preserve"> </w:t>
      </w:r>
      <w:r>
        <w:t>možnost bezpečné manipulace s</w:t>
      </w:r>
      <w:r w:rsidR="002137E9">
        <w:t> nádobami.</w:t>
      </w:r>
      <w:r>
        <w:t xml:space="preserve"> </w:t>
      </w:r>
    </w:p>
    <w:p w:rsidR="002137E9" w:rsidRDefault="002137E9" w:rsidP="002F76F0">
      <w:pPr>
        <w:numPr>
          <w:ilvl w:val="0"/>
          <w:numId w:val="11"/>
        </w:numPr>
      </w:pPr>
      <w:r>
        <w:t xml:space="preserve">V případě </w:t>
      </w:r>
      <w:r w:rsidR="00ED3454">
        <w:t xml:space="preserve">prokazatelného </w:t>
      </w:r>
      <w:r>
        <w:t>opakovaného přepl</w:t>
      </w:r>
      <w:r w:rsidR="00DA4682">
        <w:t>ňování</w:t>
      </w:r>
      <w:r>
        <w:t xml:space="preserve"> nádob</w:t>
      </w:r>
      <w:r w:rsidR="00ED3454">
        <w:t xml:space="preserve"> určených pro svoz odpadu</w:t>
      </w:r>
      <w:r>
        <w:t xml:space="preserve"> se původce odpadu zavazuje jednat s oprávněnou osobou o zvýšení počtu odpadových nádob nebo o zvýšení četnosti svozu. </w:t>
      </w:r>
    </w:p>
    <w:p w:rsidR="00153F89" w:rsidRDefault="00153F89" w:rsidP="00153F89">
      <w:pPr>
        <w:ind w:left="720"/>
      </w:pPr>
    </w:p>
    <w:p w:rsidR="009C138B" w:rsidRDefault="00F96164" w:rsidP="002F76F0">
      <w:pPr>
        <w:numPr>
          <w:ilvl w:val="0"/>
          <w:numId w:val="11"/>
        </w:numPr>
      </w:pPr>
      <w:r>
        <w:t>Oprávněná osoba nabídne původci odpadů k odkupu za zůstatkovou účetní hodnotu speciální nádoby, které byly pořízeny oprávněnou osobou pro účely plnění této smlouvy.</w:t>
      </w:r>
      <w:r w:rsidR="005638F6" w:rsidDel="005638F6">
        <w:t xml:space="preserve"> </w:t>
      </w:r>
    </w:p>
    <w:p w:rsidR="00153F89" w:rsidRDefault="00153F89" w:rsidP="00153F89"/>
    <w:p w:rsidR="00AE6E31" w:rsidRDefault="00AE6E31" w:rsidP="002F76F0">
      <w:pPr>
        <w:numPr>
          <w:ilvl w:val="0"/>
          <w:numId w:val="11"/>
        </w:numPr>
      </w:pPr>
      <w:r>
        <w:t xml:space="preserve">Původce odpadu se zavazuje aktualizovat </w:t>
      </w:r>
      <w:r w:rsidRPr="001C4F31">
        <w:t>počet obyvatel v obci pro</w:t>
      </w:r>
      <w:r>
        <w:t xml:space="preserve"> účely ocenění svozu </w:t>
      </w:r>
      <w:r w:rsidR="00ED3454">
        <w:t xml:space="preserve">směsného </w:t>
      </w:r>
      <w:r>
        <w:t>komunálního odpadu</w:t>
      </w:r>
      <w:r w:rsidR="00ED3454">
        <w:t xml:space="preserve"> občanů</w:t>
      </w:r>
      <w:r>
        <w:t xml:space="preserve"> každoročně k 31.12</w:t>
      </w:r>
      <w:r w:rsidRPr="00E8541F">
        <w:t>.</w:t>
      </w:r>
    </w:p>
    <w:p w:rsidR="00000F13" w:rsidRDefault="00000F13" w:rsidP="009C138B"/>
    <w:p w:rsidR="00000F13" w:rsidRPr="009C6CC2" w:rsidRDefault="00000F13" w:rsidP="00000F13">
      <w:pPr>
        <w:spacing w:before="100" w:after="120"/>
        <w:ind w:left="1440"/>
        <w:jc w:val="both"/>
        <w:rPr>
          <w:rFonts w:cs="Calibri"/>
        </w:rPr>
      </w:pPr>
    </w:p>
    <w:p w:rsidR="002A30A1" w:rsidRDefault="002A30A1" w:rsidP="00B878F9">
      <w:pPr>
        <w:jc w:val="center"/>
        <w:rPr>
          <w:b/>
        </w:rPr>
      </w:pPr>
      <w:r>
        <w:rPr>
          <w:b/>
        </w:rPr>
        <w:t xml:space="preserve">Čl. </w:t>
      </w:r>
      <w:r w:rsidR="002B6ECC">
        <w:rPr>
          <w:b/>
        </w:rPr>
        <w:t>I</w:t>
      </w:r>
      <w:r w:rsidR="00B878F9" w:rsidRPr="002A30A1">
        <w:rPr>
          <w:b/>
        </w:rPr>
        <w:t xml:space="preserve">V </w:t>
      </w:r>
    </w:p>
    <w:p w:rsidR="00B878F9" w:rsidRPr="002A30A1" w:rsidRDefault="00B878F9" w:rsidP="00B878F9">
      <w:pPr>
        <w:jc w:val="center"/>
        <w:rPr>
          <w:b/>
        </w:rPr>
      </w:pPr>
      <w:r w:rsidRPr="002A30A1">
        <w:rPr>
          <w:b/>
        </w:rPr>
        <w:t>Cena</w:t>
      </w:r>
      <w:r w:rsidR="002A30A1">
        <w:rPr>
          <w:b/>
        </w:rPr>
        <w:t xml:space="preserve"> a</w:t>
      </w:r>
      <w:r w:rsidRPr="002A30A1">
        <w:rPr>
          <w:b/>
        </w:rPr>
        <w:t xml:space="preserve"> platební podmínky</w:t>
      </w:r>
    </w:p>
    <w:p w:rsidR="00B878F9" w:rsidRDefault="00B878F9" w:rsidP="00B878F9"/>
    <w:p w:rsidR="00443532" w:rsidRPr="009C6CC2" w:rsidRDefault="00443532" w:rsidP="002F76F0">
      <w:pPr>
        <w:numPr>
          <w:ilvl w:val="0"/>
          <w:numId w:val="13"/>
        </w:numPr>
        <w:spacing w:before="100" w:after="120"/>
        <w:jc w:val="both"/>
        <w:rPr>
          <w:rFonts w:cs="Calibri"/>
        </w:rPr>
      </w:pPr>
      <w:r>
        <w:rPr>
          <w:rFonts w:cs="Calibri"/>
        </w:rPr>
        <w:t>Cena za poskytnutí služeb</w:t>
      </w:r>
      <w:r w:rsidRPr="009C6CC2">
        <w:rPr>
          <w:rFonts w:cs="Calibri"/>
        </w:rPr>
        <w:t xml:space="preserve"> </w:t>
      </w:r>
      <w:r>
        <w:rPr>
          <w:rFonts w:cs="Calibri"/>
        </w:rPr>
        <w:t xml:space="preserve">dle čl. I </w:t>
      </w:r>
      <w:r w:rsidR="00AD2753">
        <w:rPr>
          <w:rFonts w:cs="Calibri"/>
        </w:rPr>
        <w:t xml:space="preserve">odst. 1 </w:t>
      </w:r>
      <w:r w:rsidR="00683471">
        <w:rPr>
          <w:rFonts w:cs="Calibri"/>
        </w:rPr>
        <w:t xml:space="preserve">za období jednoho roku trvání </w:t>
      </w:r>
      <w:r>
        <w:rPr>
          <w:rFonts w:cs="Calibri"/>
        </w:rPr>
        <w:t xml:space="preserve">této smlouvy </w:t>
      </w:r>
      <w:r w:rsidRPr="009C6CC2">
        <w:rPr>
          <w:rFonts w:cs="Calibri"/>
        </w:rPr>
        <w:t>je sjednána</w:t>
      </w:r>
      <w:r>
        <w:rPr>
          <w:rFonts w:cs="Calibri"/>
        </w:rPr>
        <w:t xml:space="preserve"> v souladu s cenou, kterou oprávněná osoba nabídla v rámci zadávacího řízení na veřejnou zakázku v hodnotě:</w:t>
      </w:r>
      <w:r w:rsidRPr="009C6CC2">
        <w:rPr>
          <w:rFonts w:cs="Calibri"/>
        </w:rPr>
        <w:t xml:space="preserve">             </w:t>
      </w:r>
    </w:p>
    <w:p w:rsidR="00443532" w:rsidRPr="009C6CC2" w:rsidRDefault="00443532" w:rsidP="00443532">
      <w:pPr>
        <w:tabs>
          <w:tab w:val="num" w:pos="360"/>
        </w:tabs>
        <w:spacing w:before="100" w:after="120"/>
        <w:ind w:left="360" w:hanging="360"/>
        <w:jc w:val="both"/>
        <w:rPr>
          <w:rFonts w:cs="Calibri"/>
          <w:highlight w:val="yellow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highlight w:val="yellow"/>
        </w:rPr>
        <w:t xml:space="preserve"> </w:t>
      </w:r>
      <w:r w:rsidRPr="009C6CC2">
        <w:rPr>
          <w:rFonts w:cs="Calibri"/>
          <w:highlight w:val="yellow"/>
        </w:rPr>
        <w:t>.……………………………….. Kč včetně DPH, přičemž</w:t>
      </w:r>
    </w:p>
    <w:p w:rsidR="00443532" w:rsidRPr="009C6CC2" w:rsidRDefault="00443532" w:rsidP="00443532">
      <w:pPr>
        <w:tabs>
          <w:tab w:val="num" w:pos="360"/>
        </w:tabs>
        <w:spacing w:before="100" w:after="120"/>
        <w:ind w:left="360" w:hanging="360"/>
        <w:jc w:val="both"/>
        <w:rPr>
          <w:rFonts w:cs="Calibri"/>
          <w:highlight w:val="yellow"/>
        </w:rPr>
      </w:pPr>
      <w:r>
        <w:rPr>
          <w:rFonts w:cs="Calibri"/>
          <w:highlight w:val="yellow"/>
        </w:rPr>
        <w:tab/>
      </w:r>
      <w:r>
        <w:rPr>
          <w:rFonts w:cs="Calibri"/>
          <w:highlight w:val="yellow"/>
        </w:rPr>
        <w:tab/>
      </w:r>
      <w:r w:rsidRPr="009C6CC2">
        <w:rPr>
          <w:rFonts w:cs="Calibri"/>
          <w:highlight w:val="yellow"/>
        </w:rPr>
        <w:t>cena bez DPH činí …………………… Kč,</w:t>
      </w:r>
    </w:p>
    <w:p w:rsidR="00443532" w:rsidRPr="009C6CC2" w:rsidRDefault="00443532" w:rsidP="00443532">
      <w:pPr>
        <w:tabs>
          <w:tab w:val="num" w:pos="360"/>
        </w:tabs>
        <w:spacing w:before="100" w:after="120"/>
        <w:ind w:left="360" w:hanging="360"/>
        <w:jc w:val="both"/>
        <w:rPr>
          <w:rFonts w:cs="Calibri"/>
          <w:highlight w:val="yellow"/>
        </w:rPr>
      </w:pPr>
      <w:r>
        <w:rPr>
          <w:rFonts w:cs="Calibri"/>
          <w:highlight w:val="yellow"/>
        </w:rPr>
        <w:tab/>
      </w:r>
      <w:r w:rsidRPr="009C6CC2">
        <w:rPr>
          <w:rFonts w:cs="Calibri"/>
          <w:highlight w:val="yellow"/>
        </w:rPr>
        <w:tab/>
        <w:t>sazba DPH činí …………………….… %,</w:t>
      </w:r>
    </w:p>
    <w:p w:rsidR="00443532" w:rsidRPr="009C6CC2" w:rsidRDefault="00443532" w:rsidP="00443532">
      <w:pPr>
        <w:tabs>
          <w:tab w:val="num" w:pos="360"/>
        </w:tabs>
        <w:spacing w:before="100" w:after="120"/>
        <w:ind w:left="360" w:hanging="360"/>
        <w:jc w:val="both"/>
        <w:rPr>
          <w:rFonts w:cs="Calibri"/>
        </w:rPr>
      </w:pPr>
      <w:r w:rsidRPr="009C6CC2">
        <w:rPr>
          <w:rFonts w:cs="Calibri"/>
          <w:highlight w:val="yellow"/>
        </w:rPr>
        <w:tab/>
      </w:r>
      <w:r>
        <w:rPr>
          <w:rFonts w:cs="Calibri"/>
          <w:highlight w:val="yellow"/>
        </w:rPr>
        <w:tab/>
      </w:r>
      <w:r w:rsidRPr="009C6CC2">
        <w:rPr>
          <w:rFonts w:cs="Calibri"/>
          <w:highlight w:val="yellow"/>
        </w:rPr>
        <w:t>výše DPH činí ………………………..  Kč.</w:t>
      </w:r>
    </w:p>
    <w:p w:rsidR="00443532" w:rsidRPr="00835D67" w:rsidRDefault="00443532" w:rsidP="00443532">
      <w:pPr>
        <w:jc w:val="both"/>
      </w:pPr>
    </w:p>
    <w:p w:rsidR="00443532" w:rsidRDefault="00443532" w:rsidP="002F76F0">
      <w:pPr>
        <w:numPr>
          <w:ilvl w:val="0"/>
          <w:numId w:val="13"/>
        </w:numPr>
        <w:jc w:val="both"/>
      </w:pPr>
      <w:r w:rsidRPr="00311F55">
        <w:t xml:space="preserve">Smluvní strany se dohodly, že </w:t>
      </w:r>
      <w:r>
        <w:t>c</w:t>
      </w:r>
      <w:r w:rsidRPr="00311F55">
        <w:t xml:space="preserve">ena </w:t>
      </w:r>
      <w:r>
        <w:t xml:space="preserve">díla </w:t>
      </w:r>
      <w:r w:rsidRPr="00311F55">
        <w:t xml:space="preserve">je </w:t>
      </w:r>
      <w:r>
        <w:t>sjednána jako cena pevná</w:t>
      </w:r>
      <w:r w:rsidRPr="00311F55">
        <w:t xml:space="preserve"> a nepřekročitelná</w:t>
      </w:r>
      <w:r>
        <w:t xml:space="preserve"> po celou dobu platnosti smlouvy za sjednaný rozsah poskytovaných služeb a</w:t>
      </w:r>
      <w:r w:rsidRPr="00311F55">
        <w:t xml:space="preserve"> zahrnuje veškeré náklady </w:t>
      </w:r>
      <w:r w:rsidR="00B13E1A">
        <w:t>oprávněné osoby</w:t>
      </w:r>
      <w:r w:rsidR="00B13E1A" w:rsidRPr="00311F55">
        <w:t xml:space="preserve"> </w:t>
      </w:r>
      <w:r>
        <w:t xml:space="preserve">na poskytování služeb dle čl. I této </w:t>
      </w:r>
      <w:r w:rsidRPr="00E77E6B">
        <w:t xml:space="preserve">smlouvy (veškeré úhrady </w:t>
      </w:r>
      <w:r w:rsidR="00E8541F">
        <w:t>za svoz speciálními vozidly, ekologické odstranění odpadu, úklid stanoviště, zabezpečení oprav v případě poškození oprávněnou osobou,</w:t>
      </w:r>
      <w:r w:rsidR="00E8541F" w:rsidRPr="00E77E6B">
        <w:t xml:space="preserve"> </w:t>
      </w:r>
      <w:r w:rsidR="00E8541F" w:rsidRPr="00E8541F">
        <w:t>nezbytn</w:t>
      </w:r>
      <w:r w:rsidR="008439B0">
        <w:t>ou</w:t>
      </w:r>
      <w:r w:rsidR="00E8541F" w:rsidRPr="00E8541F">
        <w:t xml:space="preserve"> provozní údržb</w:t>
      </w:r>
      <w:r w:rsidR="008439B0">
        <w:t>u</w:t>
      </w:r>
      <w:r w:rsidR="00E8541F">
        <w:t>,</w:t>
      </w:r>
      <w:r w:rsidR="00E8541F" w:rsidRPr="00E8541F">
        <w:t xml:space="preserve"> </w:t>
      </w:r>
      <w:r w:rsidR="00E8541F">
        <w:t xml:space="preserve">úhrady </w:t>
      </w:r>
      <w:r w:rsidRPr="00E77E6B">
        <w:t>za spotřebované energie, poplatky</w:t>
      </w:r>
      <w:r>
        <w:t>, apod.)</w:t>
      </w:r>
      <w:r w:rsidRPr="00E77E6B">
        <w:t>.</w:t>
      </w:r>
    </w:p>
    <w:p w:rsidR="0004680C" w:rsidRPr="00E77E6B" w:rsidRDefault="0004680C" w:rsidP="0004680C">
      <w:pPr>
        <w:ind w:left="720"/>
        <w:jc w:val="both"/>
      </w:pPr>
    </w:p>
    <w:p w:rsidR="00443532" w:rsidRDefault="00443532" w:rsidP="002F76F0">
      <w:pPr>
        <w:numPr>
          <w:ilvl w:val="0"/>
          <w:numId w:val="13"/>
        </w:numPr>
        <w:jc w:val="both"/>
      </w:pPr>
      <w:r>
        <w:t xml:space="preserve">Cenu díla, nejde-li o změnu rozsahu plnění, je možné překročit pouze v případě změny (zvýšení) sazby DPH, a to tak, že </w:t>
      </w:r>
      <w:r w:rsidR="00E8541F">
        <w:t>oprávněná osoba</w:t>
      </w:r>
      <w:r>
        <w:t xml:space="preserve"> připočítá ke sjednané ceně bez DPH daň z přidané hodnoty v procentní sazbě odpovídající zákonné úpravě účinné k datu uskutečněného zdanitelného plnění.</w:t>
      </w:r>
    </w:p>
    <w:p w:rsidR="0004680C" w:rsidRDefault="0004680C" w:rsidP="0004680C">
      <w:pPr>
        <w:jc w:val="both"/>
      </w:pPr>
    </w:p>
    <w:p w:rsidR="00443532" w:rsidRDefault="00443532" w:rsidP="002F76F0">
      <w:pPr>
        <w:numPr>
          <w:ilvl w:val="0"/>
          <w:numId w:val="13"/>
        </w:numPr>
        <w:jc w:val="both"/>
      </w:pPr>
      <w:r>
        <w:t>Dodatečné služby, změny podmínek pro nakládání s odpady, doplňky nebo rozšíření či zúžení předmětu smlouvy musí být před jejich realizací písemně odsouhlaseny původcem odpadu.</w:t>
      </w:r>
      <w:r w:rsidR="008439B0">
        <w:t xml:space="preserve"> Pro ocenění této dodatečné služby se použijí jednotkové ceny uvedené v </w:t>
      </w:r>
      <w:r w:rsidR="008439B0" w:rsidRPr="00153F89">
        <w:t xml:space="preserve">příloze č. </w:t>
      </w:r>
      <w:r w:rsidR="008439B0">
        <w:t>1</w:t>
      </w:r>
      <w:r w:rsidR="00273D91">
        <w:t xml:space="preserve"> této smlouvy</w:t>
      </w:r>
      <w:r w:rsidR="008439B0">
        <w:t>.</w:t>
      </w:r>
    </w:p>
    <w:p w:rsidR="0004680C" w:rsidRDefault="0004680C" w:rsidP="0004680C">
      <w:pPr>
        <w:jc w:val="both"/>
      </w:pPr>
    </w:p>
    <w:p w:rsidR="00443532" w:rsidRDefault="008B7448" w:rsidP="002F76F0">
      <w:pPr>
        <w:numPr>
          <w:ilvl w:val="0"/>
          <w:numId w:val="13"/>
        </w:numPr>
      </w:pPr>
      <w:r>
        <w:t>Původce odpadu</w:t>
      </w:r>
      <w:r w:rsidRPr="008B7448">
        <w:t xml:space="preserve"> bude hradit cenu za </w:t>
      </w:r>
      <w:r w:rsidR="00443532">
        <w:t>provádění předmětné služby</w:t>
      </w:r>
      <w:r w:rsidRPr="008B7448">
        <w:t xml:space="preserve"> měsíčně bezhotovostně bankovním převodem na účet </w:t>
      </w:r>
      <w:r w:rsidR="00443532">
        <w:t>oprávněné osoby</w:t>
      </w:r>
      <w:r w:rsidRPr="008B7448">
        <w:t xml:space="preserve"> na základě </w:t>
      </w:r>
      <w:r w:rsidR="00443532">
        <w:t>oprávněnou osobou</w:t>
      </w:r>
      <w:r w:rsidRPr="008B7448">
        <w:t xml:space="preserve"> vystaveného daňového dokladu (dále také „faktura“) za období příslušného uplynulého kalendářního měsíce. Za datum uskutečnění dílčího zdanitelného plnění smluvní strany prohlašují poslední den každého kalendářního měsíce.</w:t>
      </w:r>
      <w:r w:rsidR="00443532" w:rsidRPr="00443532">
        <w:t xml:space="preserve"> </w:t>
      </w:r>
    </w:p>
    <w:p w:rsidR="00443532" w:rsidRDefault="00443532" w:rsidP="0004680C">
      <w:pPr>
        <w:ind w:left="720"/>
      </w:pPr>
    </w:p>
    <w:p w:rsidR="00B878F9" w:rsidRDefault="00443532" w:rsidP="002F76F0">
      <w:pPr>
        <w:numPr>
          <w:ilvl w:val="0"/>
          <w:numId w:val="13"/>
        </w:numPr>
      </w:pPr>
      <w:r w:rsidRPr="00443532">
        <w:t xml:space="preserve">Splatnost faktury je stanovena dohodou smluvních stran na </w:t>
      </w:r>
      <w:r>
        <w:t>14</w:t>
      </w:r>
      <w:r w:rsidRPr="00443532">
        <w:t xml:space="preserve"> kalendářních dnů od okamžiku doručení faktury </w:t>
      </w:r>
      <w:r w:rsidR="00F96164">
        <w:t>původci</w:t>
      </w:r>
      <w:r>
        <w:t xml:space="preserve"> odpadu</w:t>
      </w:r>
      <w:r w:rsidRPr="00443532">
        <w:t>. Cena se považuje za uhrazenou okamžikem odepsání příslušné částky z</w:t>
      </w:r>
      <w:r w:rsidR="008439B0">
        <w:t xml:space="preserve"> bankovního </w:t>
      </w:r>
      <w:r w:rsidRPr="00443532">
        <w:t xml:space="preserve">účtu </w:t>
      </w:r>
      <w:r>
        <w:t>původce odpadu</w:t>
      </w:r>
      <w:r w:rsidRPr="00443532">
        <w:t xml:space="preserve">. </w:t>
      </w:r>
    </w:p>
    <w:p w:rsidR="008964CB" w:rsidRDefault="008964CB" w:rsidP="0004680C"/>
    <w:p w:rsidR="0004680C" w:rsidRDefault="0004680C" w:rsidP="002F76F0">
      <w:pPr>
        <w:numPr>
          <w:ilvl w:val="0"/>
          <w:numId w:val="13"/>
        </w:numPr>
        <w:jc w:val="both"/>
      </w:pPr>
      <w:r>
        <w:t xml:space="preserve">Faktura </w:t>
      </w:r>
      <w:r w:rsidRPr="00BC0D7A">
        <w:t>musí obsahovat veškeré náležitosti požadované zákonem č. 235/2004 Sb., o dani z přidané hodnoty, ve znění pozdějších předpisů</w:t>
      </w:r>
      <w:r>
        <w:t xml:space="preserve">, </w:t>
      </w:r>
      <w:r w:rsidRPr="00D43378">
        <w:t xml:space="preserve">a </w:t>
      </w:r>
      <w:r>
        <w:t xml:space="preserve">náležitosti </w:t>
      </w:r>
      <w:r w:rsidRPr="00D43378">
        <w:t xml:space="preserve">dle § 435 </w:t>
      </w:r>
      <w:r>
        <w:t>zákona č. 89/2012 Sb., občanský zákoník, ve znění pozdějších předpisů (dále také „občanský zákoník“)</w:t>
      </w:r>
      <w:r w:rsidRPr="00BC0D7A">
        <w:t xml:space="preserve">. </w:t>
      </w:r>
    </w:p>
    <w:p w:rsidR="0004680C" w:rsidRDefault="0004680C" w:rsidP="0004680C">
      <w:pPr>
        <w:jc w:val="both"/>
      </w:pPr>
    </w:p>
    <w:p w:rsidR="0004680C" w:rsidRDefault="0004680C" w:rsidP="002F76F0">
      <w:pPr>
        <w:numPr>
          <w:ilvl w:val="0"/>
          <w:numId w:val="13"/>
        </w:numPr>
        <w:jc w:val="both"/>
      </w:pPr>
      <w:r>
        <w:t>V případě, že faktura</w:t>
      </w:r>
      <w:r w:rsidRPr="00311F55">
        <w:t xml:space="preserve"> nebude mít odpovídající náležitosti stanovené v tomto článku</w:t>
      </w:r>
      <w:r>
        <w:t xml:space="preserve">, je </w:t>
      </w:r>
      <w:r w:rsidR="008439B0">
        <w:t>původce odpadu</w:t>
      </w:r>
      <w:r>
        <w:t xml:space="preserve"> oprávněn zaslat ji</w:t>
      </w:r>
      <w:r w:rsidRPr="00311F55">
        <w:t xml:space="preserve"> ve lhůtě splatnosti zpět </w:t>
      </w:r>
      <w:r w:rsidR="008439B0">
        <w:t>oprávněné osobě</w:t>
      </w:r>
      <w:r w:rsidRPr="00311F55">
        <w:t xml:space="preserve">, aniž se dostane do prodlení se splatností – lhůta splatnosti počíná běžet znovu od </w:t>
      </w:r>
      <w:r>
        <w:t>doručení nově vystavené faktury se všemi náležitostmi na adresu</w:t>
      </w:r>
      <w:r w:rsidRPr="00311F55">
        <w:t xml:space="preserve"> sídla </w:t>
      </w:r>
      <w:r w:rsidR="008439B0">
        <w:t>původce odpadu</w:t>
      </w:r>
      <w:r>
        <w:t>.</w:t>
      </w:r>
    </w:p>
    <w:p w:rsidR="0004680C" w:rsidRDefault="0004680C" w:rsidP="0004680C">
      <w:pPr>
        <w:jc w:val="both"/>
      </w:pPr>
    </w:p>
    <w:p w:rsidR="000E58DD" w:rsidRDefault="000E58DD" w:rsidP="008B7448">
      <w:pPr>
        <w:ind w:left="720"/>
      </w:pPr>
    </w:p>
    <w:p w:rsidR="000E58DD" w:rsidRDefault="000E58DD" w:rsidP="00793671"/>
    <w:p w:rsidR="002A30A1" w:rsidRDefault="002A30A1" w:rsidP="000E58DD">
      <w:pPr>
        <w:jc w:val="center"/>
        <w:rPr>
          <w:b/>
        </w:rPr>
      </w:pPr>
      <w:r>
        <w:rPr>
          <w:b/>
        </w:rPr>
        <w:t xml:space="preserve">Čl. </w:t>
      </w:r>
      <w:r w:rsidR="00793671" w:rsidRPr="002A30A1">
        <w:rPr>
          <w:b/>
        </w:rPr>
        <w:t xml:space="preserve">V </w:t>
      </w:r>
    </w:p>
    <w:p w:rsidR="00793671" w:rsidRPr="002A30A1" w:rsidRDefault="00793671" w:rsidP="000E58DD">
      <w:pPr>
        <w:jc w:val="center"/>
        <w:rPr>
          <w:b/>
        </w:rPr>
      </w:pPr>
      <w:r w:rsidRPr="002A30A1">
        <w:rPr>
          <w:b/>
        </w:rPr>
        <w:t>Sankční opatření</w:t>
      </w:r>
    </w:p>
    <w:p w:rsidR="00793671" w:rsidRDefault="00793671" w:rsidP="00793671"/>
    <w:p w:rsidR="00793671" w:rsidRDefault="00D9272E" w:rsidP="002F76F0">
      <w:pPr>
        <w:numPr>
          <w:ilvl w:val="0"/>
          <w:numId w:val="7"/>
        </w:numPr>
        <w:jc w:val="both"/>
      </w:pPr>
      <w:r w:rsidRPr="00D9272E">
        <w:t xml:space="preserve">Pokud je </w:t>
      </w:r>
      <w:r>
        <w:t>původce odpadu</w:t>
      </w:r>
      <w:r w:rsidRPr="00D9272E">
        <w:t xml:space="preserve"> v prodlení s úhradou faktury a smluvní strany se nedohodnou na prodloužení splatnosti faktury, je povinen zaplatit </w:t>
      </w:r>
      <w:r>
        <w:t>oprávněné osobě</w:t>
      </w:r>
      <w:r w:rsidRPr="00D9272E">
        <w:t xml:space="preserve"> úrok z prodlení ve výši 0,</w:t>
      </w:r>
      <w:r>
        <w:t>05</w:t>
      </w:r>
      <w:r w:rsidRPr="00D9272E">
        <w:t xml:space="preserve"> % z dlužné částky za každý i započatý den prodlení</w:t>
      </w:r>
      <w:r w:rsidR="00793671">
        <w:t>.</w:t>
      </w:r>
    </w:p>
    <w:p w:rsidR="000E58DD" w:rsidRDefault="000E58DD" w:rsidP="008D2A3D">
      <w:pPr>
        <w:ind w:left="720"/>
        <w:jc w:val="both"/>
      </w:pPr>
    </w:p>
    <w:p w:rsidR="008D2A3D" w:rsidRDefault="008D2A3D" w:rsidP="002F76F0">
      <w:pPr>
        <w:numPr>
          <w:ilvl w:val="0"/>
          <w:numId w:val="7"/>
        </w:numPr>
        <w:spacing w:after="200"/>
        <w:ind w:left="714" w:hanging="357"/>
        <w:jc w:val="both"/>
      </w:pPr>
      <w:r>
        <w:rPr>
          <w:snapToGrid w:val="0"/>
        </w:rPr>
        <w:t xml:space="preserve">Původce odpadu je oprávněn požadovat zaplacení </w:t>
      </w:r>
      <w:r w:rsidRPr="00717AA3">
        <w:rPr>
          <w:rFonts w:cs="Calibri"/>
        </w:rPr>
        <w:t>smluvní pokut</w:t>
      </w:r>
      <w:r>
        <w:rPr>
          <w:rFonts w:cs="Calibri"/>
        </w:rPr>
        <w:t>y</w:t>
      </w:r>
      <w:r>
        <w:rPr>
          <w:snapToGrid w:val="0"/>
        </w:rPr>
        <w:t xml:space="preserve"> ve </w:t>
      </w:r>
      <w:r w:rsidRPr="001C4F31">
        <w:rPr>
          <w:snapToGrid w:val="0"/>
        </w:rPr>
        <w:t>výši 1.000,- Kč</w:t>
      </w:r>
      <w:r w:rsidRPr="00717AA3">
        <w:rPr>
          <w:snapToGrid w:val="0"/>
        </w:rPr>
        <w:t xml:space="preserve"> za každé porušení závazku </w:t>
      </w:r>
      <w:r>
        <w:rPr>
          <w:snapToGrid w:val="0"/>
        </w:rPr>
        <w:t>oprávněné osoby</w:t>
      </w:r>
      <w:r w:rsidRPr="00717AA3">
        <w:rPr>
          <w:snapToGrid w:val="0"/>
        </w:rPr>
        <w:t>, na které dle této smlouvy není sjednána zvláštní smluvní pokuta, a to za každý i započatý den prodlení a každé jednotlivé porušení.</w:t>
      </w:r>
    </w:p>
    <w:p w:rsidR="008D2A3D" w:rsidRDefault="008D2A3D" w:rsidP="002F76F0">
      <w:pPr>
        <w:numPr>
          <w:ilvl w:val="0"/>
          <w:numId w:val="7"/>
        </w:numPr>
        <w:spacing w:after="200"/>
        <w:ind w:left="714" w:hanging="357"/>
        <w:jc w:val="both"/>
      </w:pPr>
      <w:r>
        <w:t>Sankci ve formě smluvní pokuty nebo úroku z prodlení vyúčtuje oprávněná smluvní strana straně povinné písemnou formou. Ve vyúčtování musí být uvedeno to ustanovení smlouvy, které k vyúčtování sankce opravňuje a způsob výpočtu celkové výše sankce.</w:t>
      </w:r>
    </w:p>
    <w:p w:rsidR="008D2A3D" w:rsidRDefault="008D2A3D" w:rsidP="002F76F0">
      <w:pPr>
        <w:numPr>
          <w:ilvl w:val="0"/>
          <w:numId w:val="7"/>
        </w:numPr>
        <w:spacing w:after="200"/>
        <w:ind w:left="714" w:hanging="357"/>
        <w:jc w:val="both"/>
      </w:pPr>
      <w:r>
        <w:t>Povinná strana je povinna uhradit sankci do 14 dnů ode dne doručení příslušného vyúčtování.</w:t>
      </w:r>
    </w:p>
    <w:p w:rsidR="000E58DD" w:rsidRDefault="000E58DD" w:rsidP="00793671"/>
    <w:p w:rsidR="002A30A1" w:rsidRDefault="002A30A1" w:rsidP="000E58DD">
      <w:pPr>
        <w:jc w:val="center"/>
        <w:rPr>
          <w:b/>
        </w:rPr>
      </w:pPr>
      <w:r>
        <w:rPr>
          <w:b/>
        </w:rPr>
        <w:t xml:space="preserve">Čl. </w:t>
      </w:r>
      <w:r w:rsidR="002B6ECC">
        <w:rPr>
          <w:b/>
        </w:rPr>
        <w:t>VI</w:t>
      </w:r>
      <w:r w:rsidR="00793671" w:rsidRPr="002A30A1">
        <w:rPr>
          <w:b/>
        </w:rPr>
        <w:t xml:space="preserve"> </w:t>
      </w:r>
    </w:p>
    <w:p w:rsidR="00793671" w:rsidRPr="002A30A1" w:rsidRDefault="00793671" w:rsidP="000E58DD">
      <w:pPr>
        <w:jc w:val="center"/>
        <w:rPr>
          <w:b/>
        </w:rPr>
      </w:pPr>
      <w:r w:rsidRPr="002A30A1">
        <w:rPr>
          <w:b/>
        </w:rPr>
        <w:t>Platnost</w:t>
      </w:r>
      <w:r w:rsidR="000E58DD" w:rsidRPr="002A30A1">
        <w:rPr>
          <w:b/>
        </w:rPr>
        <w:t xml:space="preserve"> </w:t>
      </w:r>
      <w:r w:rsidRPr="002A30A1">
        <w:rPr>
          <w:b/>
        </w:rPr>
        <w:t>a</w:t>
      </w:r>
      <w:r w:rsidR="000E58DD" w:rsidRPr="002A30A1">
        <w:rPr>
          <w:b/>
        </w:rPr>
        <w:t xml:space="preserve"> </w:t>
      </w:r>
      <w:r w:rsidRPr="002A30A1">
        <w:rPr>
          <w:b/>
        </w:rPr>
        <w:t>zánik smlouvy</w:t>
      </w:r>
    </w:p>
    <w:p w:rsidR="000E58DD" w:rsidRDefault="000E58DD" w:rsidP="00793671"/>
    <w:p w:rsidR="00793671" w:rsidRDefault="00793671" w:rsidP="00793671">
      <w:r>
        <w:t xml:space="preserve">Smlouva se uzavírá na dobu určitou od </w:t>
      </w:r>
      <w:r w:rsidRPr="002F76F0">
        <w:rPr>
          <w:b/>
        </w:rPr>
        <w:t>1.</w:t>
      </w:r>
      <w:r w:rsidR="00B819C3" w:rsidRPr="002F76F0">
        <w:rPr>
          <w:b/>
        </w:rPr>
        <w:t xml:space="preserve"> </w:t>
      </w:r>
      <w:r w:rsidR="00C564C5" w:rsidRPr="002F76F0">
        <w:rPr>
          <w:b/>
        </w:rPr>
        <w:t>10</w:t>
      </w:r>
      <w:r w:rsidRPr="002F76F0">
        <w:rPr>
          <w:b/>
        </w:rPr>
        <w:t>.</w:t>
      </w:r>
      <w:r w:rsidR="00B819C3" w:rsidRPr="002F76F0">
        <w:rPr>
          <w:b/>
        </w:rPr>
        <w:t xml:space="preserve"> </w:t>
      </w:r>
      <w:r w:rsidRPr="002F76F0">
        <w:rPr>
          <w:b/>
        </w:rPr>
        <w:t>201</w:t>
      </w:r>
      <w:r w:rsidR="00B819C3" w:rsidRPr="002F76F0">
        <w:rPr>
          <w:b/>
        </w:rPr>
        <w:t>7</w:t>
      </w:r>
      <w:r w:rsidR="005638F6" w:rsidRPr="002F76F0">
        <w:rPr>
          <w:b/>
        </w:rPr>
        <w:t xml:space="preserve"> do 30.</w:t>
      </w:r>
      <w:r w:rsidR="00C564C5" w:rsidRPr="002F76F0">
        <w:rPr>
          <w:b/>
        </w:rPr>
        <w:t>9</w:t>
      </w:r>
      <w:r w:rsidR="005638F6" w:rsidRPr="002F76F0">
        <w:rPr>
          <w:b/>
        </w:rPr>
        <w:t>.2019</w:t>
      </w:r>
      <w:r w:rsidR="005638F6" w:rsidRPr="002F76F0">
        <w:t>.</w:t>
      </w:r>
    </w:p>
    <w:p w:rsidR="000E58DD" w:rsidRDefault="000E58DD" w:rsidP="000E58DD"/>
    <w:p w:rsidR="00DE246F" w:rsidRDefault="00DE246F" w:rsidP="000E58DD"/>
    <w:p w:rsidR="002A30A1" w:rsidRDefault="002A30A1" w:rsidP="000E58DD">
      <w:pPr>
        <w:jc w:val="center"/>
        <w:rPr>
          <w:b/>
        </w:rPr>
      </w:pPr>
      <w:r>
        <w:rPr>
          <w:b/>
        </w:rPr>
        <w:t xml:space="preserve">Čl. </w:t>
      </w:r>
      <w:r w:rsidR="002B6ECC">
        <w:rPr>
          <w:b/>
        </w:rPr>
        <w:t>VII</w:t>
      </w:r>
      <w:r w:rsidR="000E58DD" w:rsidRPr="002A30A1">
        <w:rPr>
          <w:b/>
        </w:rPr>
        <w:t xml:space="preserve"> </w:t>
      </w:r>
    </w:p>
    <w:p w:rsidR="000E58DD" w:rsidRPr="002A30A1" w:rsidRDefault="000E58DD" w:rsidP="000E58DD">
      <w:pPr>
        <w:jc w:val="center"/>
        <w:rPr>
          <w:b/>
        </w:rPr>
      </w:pPr>
      <w:r w:rsidRPr="002A30A1">
        <w:rPr>
          <w:b/>
        </w:rPr>
        <w:t>Vyšší moc</w:t>
      </w:r>
    </w:p>
    <w:p w:rsidR="000E58DD" w:rsidRPr="000E58DD" w:rsidRDefault="000E58DD" w:rsidP="00DE246F">
      <w:pPr>
        <w:jc w:val="center"/>
        <w:rPr>
          <w:b/>
          <w:sz w:val="28"/>
          <w:szCs w:val="28"/>
        </w:rPr>
      </w:pPr>
    </w:p>
    <w:p w:rsidR="00B819C3" w:rsidRDefault="00B819C3" w:rsidP="002F76F0">
      <w:pPr>
        <w:numPr>
          <w:ilvl w:val="0"/>
          <w:numId w:val="8"/>
        </w:numPr>
        <w:spacing w:after="200"/>
        <w:ind w:left="714" w:hanging="357"/>
        <w:jc w:val="both"/>
      </w:pPr>
      <w:r w:rsidRPr="00A27E30">
        <w:t xml:space="preserve">Za vyšší moc se považují okolnosti mající vliv na dílo, které nejsou závislé na </w:t>
      </w:r>
      <w:r w:rsidR="00F96164">
        <w:t>vůli smluvních stran</w:t>
      </w:r>
      <w:r w:rsidR="00F96164" w:rsidRPr="00F96164">
        <w:t xml:space="preserve"> </w:t>
      </w:r>
      <w:r w:rsidR="00F96164">
        <w:t>a jejichž účinky na dílo nemohou odvrátit anebo nemohou odvrátit bez nákladů, které po nich nelze spravedlivě požadovat</w:t>
      </w:r>
      <w:r w:rsidRPr="00A27E30">
        <w:t>. Jedná se např. o válku, mobilizaci, povstání, živelné pohromy</w:t>
      </w:r>
      <w:r>
        <w:t>, demonstrace, požáry, povodně, epidemie, karanténní omezení, dopravní embarga, stávky,</w:t>
      </w:r>
      <w:r w:rsidRPr="00A27E30">
        <w:t xml:space="preserve"> apod.</w:t>
      </w:r>
    </w:p>
    <w:p w:rsidR="00B819C3" w:rsidRPr="00E9273F" w:rsidRDefault="00B819C3" w:rsidP="002F76F0">
      <w:pPr>
        <w:numPr>
          <w:ilvl w:val="0"/>
          <w:numId w:val="8"/>
        </w:numPr>
        <w:spacing w:after="200"/>
        <w:ind w:left="714" w:hanging="357"/>
        <w:jc w:val="both"/>
      </w:pPr>
      <w:r w:rsidRPr="0005445C">
        <w:t xml:space="preserve">Pokud se </w:t>
      </w:r>
      <w:r>
        <w:t>poskytování služby</w:t>
      </w:r>
      <w:r w:rsidRPr="0005445C">
        <w:t xml:space="preserve"> za sje</w:t>
      </w:r>
      <w:r>
        <w:t xml:space="preserve">dnaných podmínek stane nemožným </w:t>
      </w:r>
      <w:r w:rsidRPr="0005445C">
        <w:t>v důsledku vzniku vyšší moci, strana, která se b</w:t>
      </w:r>
      <w:r>
        <w:t xml:space="preserve">ude chtít na vyšší moc odvolat, </w:t>
      </w:r>
      <w:r w:rsidRPr="0005445C">
        <w:t xml:space="preserve">požádá druhou stranu o úpravu smlouvy ve vztahu </w:t>
      </w:r>
      <w:r>
        <w:t xml:space="preserve">k předmětu, ceně a době plnění. </w:t>
      </w:r>
      <w:r w:rsidRPr="0005445C">
        <w:t>Pokud nedojde k doho</w:t>
      </w:r>
      <w:r>
        <w:t xml:space="preserve">dě, má strana, která se důvodně odvolala na vyšší moc, právo </w:t>
      </w:r>
      <w:r w:rsidRPr="0005445C">
        <w:t>odstoupit od smlouvy. Účinnost odstoupení nastáv</w:t>
      </w:r>
      <w:r>
        <w:t xml:space="preserve">á v tomto případě dnem doručení </w:t>
      </w:r>
      <w:r w:rsidRPr="0005445C">
        <w:t>oznámení</w:t>
      </w:r>
      <w:r>
        <w:t xml:space="preserve"> druhé smluvní straně</w:t>
      </w:r>
      <w:r w:rsidRPr="0005445C">
        <w:t>.</w:t>
      </w:r>
    </w:p>
    <w:p w:rsidR="000E58DD" w:rsidRDefault="000E58DD" w:rsidP="000E58DD"/>
    <w:p w:rsidR="00DE246F" w:rsidRDefault="00DE246F" w:rsidP="000E58DD"/>
    <w:p w:rsidR="00AE6E31" w:rsidRPr="00A14600" w:rsidRDefault="00AE6E31" w:rsidP="00AE6E31">
      <w:pPr>
        <w:jc w:val="center"/>
      </w:pPr>
      <w:r w:rsidRPr="00A14600">
        <w:rPr>
          <w:b/>
        </w:rPr>
        <w:t xml:space="preserve">Čl. </w:t>
      </w:r>
      <w:r>
        <w:rPr>
          <w:b/>
        </w:rPr>
        <w:t>VIII</w:t>
      </w:r>
    </w:p>
    <w:p w:rsidR="00AE6E31" w:rsidRDefault="00AE6E31" w:rsidP="00AE6E31">
      <w:pPr>
        <w:jc w:val="center"/>
        <w:rPr>
          <w:b/>
        </w:rPr>
      </w:pPr>
      <w:r>
        <w:rPr>
          <w:b/>
        </w:rPr>
        <w:t>Odstoupení od smlouvy</w:t>
      </w:r>
    </w:p>
    <w:p w:rsidR="00AE6E31" w:rsidRDefault="00AE6E31" w:rsidP="00AE6E31">
      <w:pPr>
        <w:jc w:val="center"/>
        <w:rPr>
          <w:b/>
        </w:rPr>
      </w:pPr>
    </w:p>
    <w:p w:rsidR="00AE6E31" w:rsidRDefault="00AE6E31" w:rsidP="002F76F0">
      <w:pPr>
        <w:numPr>
          <w:ilvl w:val="0"/>
          <w:numId w:val="9"/>
        </w:numPr>
        <w:spacing w:after="200" w:line="276" w:lineRule="auto"/>
        <w:jc w:val="both"/>
      </w:pPr>
      <w:r w:rsidRPr="00E9273F">
        <w:lastRenderedPageBreak/>
        <w:t xml:space="preserve">Nastanou-li u některé ze </w:t>
      </w:r>
      <w:r>
        <w:t xml:space="preserve">smluvních </w:t>
      </w:r>
      <w:r w:rsidRPr="00E9273F">
        <w:t>stran skutečnosti bránící řádnému plnění této smlouvy</w:t>
      </w:r>
      <w:r>
        <w:t>,</w:t>
      </w:r>
      <w:r w:rsidRPr="00E9273F">
        <w:t xml:space="preserve"> je</w:t>
      </w:r>
      <w:r>
        <w:t xml:space="preserve"> </w:t>
      </w:r>
      <w:r w:rsidRPr="00E9273F">
        <w:t>povinna to bez zbytečného odkladu oznámit</w:t>
      </w:r>
      <w:r>
        <w:t xml:space="preserve"> druhé smluvní straně a vyvolat jednání oprávněných zástupců smluvních stran</w:t>
      </w:r>
      <w:r w:rsidRPr="00E9273F">
        <w:t>.</w:t>
      </w:r>
    </w:p>
    <w:p w:rsidR="00AE6E31" w:rsidRDefault="00AE6E31" w:rsidP="002F76F0">
      <w:pPr>
        <w:numPr>
          <w:ilvl w:val="0"/>
          <w:numId w:val="9"/>
        </w:numPr>
        <w:spacing w:after="200" w:line="276" w:lineRule="auto"/>
        <w:jc w:val="both"/>
      </w:pPr>
      <w:r w:rsidRPr="00200C09">
        <w:t>Chce-li některá ze smluvních stran od smlouvy odstoupit na základě ujednání vyplývajících ze smlouvy, je povinna svoje odstoupení písemně oznámit druhé smluvní straně s uvedením okamžiku, ke kterému od smlouvy odstupuje, nemá-li být odstoupení účinné okamžikem jeho doručení.  V odstoupení musí být dále uveden důvod, pro který smluvní strana od smlouvy odstupuje a přesná citace ustanovení smlouvy, které ji k takovému kroku opravňuje.</w:t>
      </w:r>
    </w:p>
    <w:p w:rsidR="00AE6E31" w:rsidRDefault="00AE6E31" w:rsidP="002F76F0">
      <w:pPr>
        <w:numPr>
          <w:ilvl w:val="0"/>
          <w:numId w:val="9"/>
        </w:numPr>
        <w:spacing w:after="200" w:line="276" w:lineRule="auto"/>
        <w:jc w:val="both"/>
      </w:pPr>
      <w:r w:rsidRPr="0061366E">
        <w:t xml:space="preserve">Nesouhlasí-li jedna ze </w:t>
      </w:r>
      <w:r>
        <w:t xml:space="preserve">smluvních </w:t>
      </w:r>
      <w:r w:rsidRPr="0061366E">
        <w:t>stran s důvodem odstoupení d</w:t>
      </w:r>
      <w:r>
        <w:t xml:space="preserve">ruhé smluvní strany nebo popírá-li jeho </w:t>
      </w:r>
      <w:r w:rsidRPr="0061366E">
        <w:t>existenci</w:t>
      </w:r>
      <w:r>
        <w:t>,</w:t>
      </w:r>
      <w:r w:rsidRPr="0061366E">
        <w:t xml:space="preserve"> je povinna to písemně oznámit </w:t>
      </w:r>
      <w:r>
        <w:t xml:space="preserve">druhé smluvní straně </w:t>
      </w:r>
      <w:r w:rsidRPr="0061366E">
        <w:t>nejpozději do de</w:t>
      </w:r>
      <w:r>
        <w:t xml:space="preserve">seti dnů po obdržení </w:t>
      </w:r>
      <w:r w:rsidRPr="0061366E">
        <w:t>oznámení o odstoupení. Pokud tak neučiní, má se</w:t>
      </w:r>
      <w:r>
        <w:t xml:space="preserve"> za to, že s důvodem odstoupení </w:t>
      </w:r>
      <w:r w:rsidRPr="0061366E">
        <w:t>souhlasí.</w:t>
      </w:r>
      <w:r>
        <w:t xml:space="preserve"> Vyjádřený nesouhlas nemá vliv na nabytí účinnosti odstoupení od smlouvy.</w:t>
      </w:r>
    </w:p>
    <w:p w:rsidR="00AE6E31" w:rsidRDefault="00AE6E31" w:rsidP="00AE6E31">
      <w:pPr>
        <w:spacing w:after="200" w:line="276" w:lineRule="auto"/>
        <w:ind w:left="360"/>
        <w:jc w:val="both"/>
      </w:pPr>
    </w:p>
    <w:p w:rsidR="002A30A1" w:rsidRDefault="002A30A1" w:rsidP="000E58DD">
      <w:pPr>
        <w:jc w:val="center"/>
        <w:rPr>
          <w:b/>
        </w:rPr>
      </w:pPr>
      <w:r>
        <w:rPr>
          <w:b/>
        </w:rPr>
        <w:t xml:space="preserve">Čl. </w:t>
      </w:r>
      <w:r w:rsidR="002B6ECC">
        <w:rPr>
          <w:b/>
        </w:rPr>
        <w:t>I</w:t>
      </w:r>
      <w:r w:rsidR="00AE6E31">
        <w:rPr>
          <w:b/>
        </w:rPr>
        <w:t>X</w:t>
      </w:r>
      <w:r w:rsidR="000E58DD" w:rsidRPr="002A30A1">
        <w:rPr>
          <w:b/>
        </w:rPr>
        <w:t xml:space="preserve"> </w:t>
      </w:r>
    </w:p>
    <w:p w:rsidR="000E58DD" w:rsidRPr="002A30A1" w:rsidRDefault="000E58DD" w:rsidP="000E58DD">
      <w:pPr>
        <w:jc w:val="center"/>
        <w:rPr>
          <w:b/>
        </w:rPr>
      </w:pPr>
      <w:r w:rsidRPr="002A30A1">
        <w:rPr>
          <w:b/>
        </w:rPr>
        <w:t>Ostatní ujednání</w:t>
      </w:r>
    </w:p>
    <w:p w:rsidR="000E58DD" w:rsidRDefault="000E58DD" w:rsidP="000E58DD"/>
    <w:p w:rsidR="00153F89" w:rsidRDefault="00AE6E31" w:rsidP="002F76F0">
      <w:pPr>
        <w:numPr>
          <w:ilvl w:val="0"/>
          <w:numId w:val="12"/>
        </w:numPr>
      </w:pPr>
      <w:r>
        <w:t>Smluvní s</w:t>
      </w:r>
      <w:r w:rsidR="00153F89">
        <w:t xml:space="preserve">trany si dohodly </w:t>
      </w:r>
      <w:r w:rsidR="00D63087">
        <w:t xml:space="preserve">pověřené </w:t>
      </w:r>
      <w:r w:rsidR="00153F89">
        <w:t>osoby</w:t>
      </w:r>
      <w:r w:rsidR="00D63087">
        <w:t>, jejich</w:t>
      </w:r>
      <w:r w:rsidR="00153F89">
        <w:t xml:space="preserve"> telefonní čísla</w:t>
      </w:r>
      <w:r w:rsidR="00D63087">
        <w:t xml:space="preserve"> a emailové adresy</w:t>
      </w:r>
      <w:r w:rsidR="00153F89">
        <w:t xml:space="preserve"> pro zajištění snadnější komunikace mezi oběma </w:t>
      </w:r>
      <w:r w:rsidR="00AD2753">
        <w:t xml:space="preserve">smluvními </w:t>
      </w:r>
      <w:r w:rsidR="00153F89">
        <w:t>stranami. Strany jsou</w:t>
      </w:r>
      <w:r w:rsidR="00AD2753">
        <w:t xml:space="preserve"> si</w:t>
      </w:r>
      <w:r w:rsidR="00153F89">
        <w:t xml:space="preserve"> povinny oznámit změny </w:t>
      </w:r>
      <w:r w:rsidR="00D63087">
        <w:t xml:space="preserve">pověřených </w:t>
      </w:r>
      <w:r w:rsidR="00153F89">
        <w:t>osob</w:t>
      </w:r>
      <w:r w:rsidR="00D63087">
        <w:t>, jejich</w:t>
      </w:r>
      <w:r w:rsidR="00153F89">
        <w:t xml:space="preserve"> telefonních čísel</w:t>
      </w:r>
      <w:r w:rsidR="00D63087">
        <w:t xml:space="preserve"> a emailových adres</w:t>
      </w:r>
      <w:r w:rsidR="00153F89">
        <w:t xml:space="preserve"> prokazatelným způsobem.</w:t>
      </w:r>
    </w:p>
    <w:p w:rsidR="000E58DD" w:rsidRDefault="000E58DD" w:rsidP="000E58DD"/>
    <w:p w:rsidR="00153F89" w:rsidRDefault="00153F89" w:rsidP="002F76F0">
      <w:pPr>
        <w:numPr>
          <w:ilvl w:val="0"/>
          <w:numId w:val="12"/>
        </w:numPr>
      </w:pPr>
      <w:r>
        <w:t>Původce odpadu souhlasí s tím, že stanovení hmotností odpadů a vytříděných surovin bude oprávněná osoba provádět na řádně cejchované mostové váze. Původce odpadu má právo kontroly vážení odpadů a může být na vyžádání tomuto vážení přítomen.</w:t>
      </w:r>
    </w:p>
    <w:p w:rsidR="00153F89" w:rsidRDefault="00153F89" w:rsidP="00153F89"/>
    <w:p w:rsidR="00E8541F" w:rsidRDefault="00E8541F" w:rsidP="00E8541F">
      <w:pPr>
        <w:pStyle w:val="ListParagraph"/>
      </w:pPr>
    </w:p>
    <w:p w:rsidR="00A14600" w:rsidRDefault="00A14600" w:rsidP="00A14600">
      <w:pPr>
        <w:pStyle w:val="ListParagraph"/>
        <w:rPr>
          <w:b/>
        </w:rPr>
      </w:pPr>
    </w:p>
    <w:p w:rsidR="00E504FE" w:rsidRPr="002B6ECC" w:rsidRDefault="00E504FE" w:rsidP="002B6ECC">
      <w:pPr>
        <w:jc w:val="center"/>
        <w:rPr>
          <w:b/>
        </w:rPr>
      </w:pPr>
      <w:r w:rsidRPr="002B6ECC">
        <w:rPr>
          <w:b/>
        </w:rPr>
        <w:t>Čl. X</w:t>
      </w:r>
    </w:p>
    <w:p w:rsidR="00E504FE" w:rsidRDefault="00E504FE" w:rsidP="00E504FE">
      <w:pPr>
        <w:jc w:val="center"/>
        <w:rPr>
          <w:b/>
        </w:rPr>
      </w:pPr>
      <w:r>
        <w:rPr>
          <w:b/>
        </w:rPr>
        <w:t>Závěrečná ujednání</w:t>
      </w:r>
    </w:p>
    <w:p w:rsidR="00E504FE" w:rsidRDefault="00E504FE" w:rsidP="00E504FE">
      <w:pPr>
        <w:jc w:val="center"/>
        <w:rPr>
          <w:b/>
        </w:rPr>
      </w:pPr>
    </w:p>
    <w:p w:rsidR="00E504FE" w:rsidRPr="00180845" w:rsidRDefault="00E504FE" w:rsidP="002F76F0">
      <w:pPr>
        <w:numPr>
          <w:ilvl w:val="0"/>
          <w:numId w:val="10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Veškeré změny a doplňky této smlouvy mohou být provedeny pouze písemně na základě vzestupně číslovaných dodatků podepsaných oprávněnými zástupci obou smluvních stran. </w:t>
      </w:r>
      <w:r>
        <w:t>Jiné zápisy, protokoly apod.</w:t>
      </w:r>
      <w:r w:rsidRPr="006E33EF">
        <w:t xml:space="preserve"> se za změnu smlouvy</w:t>
      </w:r>
      <w:r>
        <w:t xml:space="preserve"> </w:t>
      </w:r>
      <w:r w:rsidRPr="006E33EF">
        <w:t>nepovažují.</w:t>
      </w:r>
    </w:p>
    <w:p w:rsidR="00E504FE" w:rsidRDefault="00E504FE" w:rsidP="002F76F0">
      <w:pPr>
        <w:numPr>
          <w:ilvl w:val="0"/>
          <w:numId w:val="10"/>
        </w:numPr>
        <w:spacing w:after="200" w:line="276" w:lineRule="auto"/>
        <w:jc w:val="both"/>
      </w:pPr>
      <w:r w:rsidRPr="006E33EF">
        <w:t xml:space="preserve">K návrhům změn – dodatkům </w:t>
      </w:r>
      <w:r>
        <w:t>ke smlouvě</w:t>
      </w:r>
      <w:r w:rsidRPr="006E33EF">
        <w:t xml:space="preserve"> se smluvní st</w:t>
      </w:r>
      <w:r>
        <w:t xml:space="preserve">rany zavazují vyjádřit písemně </w:t>
      </w:r>
      <w:r w:rsidRPr="006E33EF">
        <w:t>do 1</w:t>
      </w:r>
      <w:r>
        <w:t>0</w:t>
      </w:r>
      <w:r w:rsidRPr="006E33EF">
        <w:t xml:space="preserve"> dnů od doručení návrhu dodatku druhé s</w:t>
      </w:r>
      <w:r>
        <w:t xml:space="preserve">traně. </w:t>
      </w:r>
    </w:p>
    <w:p w:rsidR="00E504FE" w:rsidRPr="006E33EF" w:rsidRDefault="00E504FE" w:rsidP="002F76F0">
      <w:pPr>
        <w:numPr>
          <w:ilvl w:val="0"/>
          <w:numId w:val="10"/>
        </w:numPr>
        <w:spacing w:after="200" w:line="276" w:lineRule="auto"/>
        <w:jc w:val="both"/>
      </w:pPr>
      <w:r>
        <w:rPr>
          <w:rFonts w:cs="Arial"/>
        </w:rPr>
        <w:t>Případná nevynutitelnost nebo neplatnost kteréhokoli ustanovení této smlouvy nemá vliv na vynutitelnost nebo platnost ostatních ustanovení této smlouvy. V případě, že by dotčené ustanovení mělo pozbýt platnosti, provedou smluvní strany konzultace a dohodnou se na způsobu provedení záměrů obsažených v té části smlouvy, jež pozbyla platnosti.</w:t>
      </w:r>
    </w:p>
    <w:p w:rsidR="00E504FE" w:rsidRPr="00311F55" w:rsidRDefault="00E504FE" w:rsidP="002F76F0">
      <w:pPr>
        <w:numPr>
          <w:ilvl w:val="0"/>
          <w:numId w:val="10"/>
        </w:numPr>
        <w:spacing w:after="200" w:line="276" w:lineRule="auto"/>
        <w:jc w:val="both"/>
      </w:pPr>
      <w:r>
        <w:t>Tato s</w:t>
      </w:r>
      <w:r w:rsidRPr="00311F55">
        <w:t>m</w:t>
      </w:r>
      <w:r>
        <w:t>louva je</w:t>
      </w:r>
      <w:r w:rsidRPr="00311F55">
        <w:t xml:space="preserve"> vyhotovena ve </w:t>
      </w:r>
      <w:r>
        <w:t xml:space="preserve">dvou </w:t>
      </w:r>
      <w:r w:rsidRPr="00311F55">
        <w:t xml:space="preserve">stejnopisech s platností originálu, přičemž </w:t>
      </w:r>
      <w:r>
        <w:t>každá ze smluvních stran obdrží po jednom vyhotovení</w:t>
      </w:r>
      <w:r w:rsidRPr="00311F55">
        <w:t>.</w:t>
      </w:r>
    </w:p>
    <w:p w:rsidR="00E504FE" w:rsidRDefault="00E504FE" w:rsidP="002F76F0">
      <w:pPr>
        <w:numPr>
          <w:ilvl w:val="0"/>
          <w:numId w:val="10"/>
        </w:numPr>
        <w:spacing w:after="200" w:line="276" w:lineRule="auto"/>
        <w:jc w:val="both"/>
      </w:pPr>
      <w:r w:rsidRPr="00311F55">
        <w:lastRenderedPageBreak/>
        <w:t>Smluvní strany tímto pr</w:t>
      </w:r>
      <w:r>
        <w:t>ohlašují, že se s obsahem této s</w:t>
      </w:r>
      <w:r w:rsidRPr="00311F55">
        <w:t>m</w:t>
      </w:r>
      <w:r>
        <w:t>louvy řádně seznámily, že tato s</w:t>
      </w:r>
      <w:r w:rsidRPr="00311F55">
        <w:t>mlouva je projevem jejich vážné, svobo</w:t>
      </w:r>
      <w:r>
        <w:t>dné a určité vůle prosté omylu</w:t>
      </w:r>
      <w:r w:rsidRPr="00311F55">
        <w:t xml:space="preserve">, na důkaz </w:t>
      </w:r>
      <w:r>
        <w:t>čehož připojují své</w:t>
      </w:r>
      <w:r w:rsidRPr="00311F55">
        <w:t xml:space="preserve"> podpisy. </w:t>
      </w:r>
    </w:p>
    <w:p w:rsidR="00E504FE" w:rsidRPr="00180845" w:rsidRDefault="00E504FE" w:rsidP="002F76F0">
      <w:pPr>
        <w:numPr>
          <w:ilvl w:val="0"/>
          <w:numId w:val="10"/>
        </w:numPr>
        <w:spacing w:after="200" w:line="276" w:lineRule="auto"/>
        <w:jc w:val="both"/>
      </w:pPr>
      <w:r w:rsidRPr="00311F55">
        <w:t xml:space="preserve">V případě, že </w:t>
      </w:r>
      <w:r w:rsidR="002A30A1">
        <w:t>původci odpadu</w:t>
      </w:r>
      <w:r w:rsidRPr="00311F55">
        <w:t xml:space="preserve"> bude obecně závaznými právními předpisy</w:t>
      </w:r>
      <w:r>
        <w:t>, soudními rozhodnutími</w:t>
      </w:r>
      <w:r w:rsidRPr="00311F55">
        <w:t xml:space="preserve"> nebo příslušnými subjekty stanovena povinnost zpřístupnit nebo zveřejnit údaje obsažené v této smlouvě, souhlasí </w:t>
      </w:r>
      <w:r w:rsidR="002A30A1">
        <w:t>oprávněná osoba</w:t>
      </w:r>
      <w:r>
        <w:t xml:space="preserve"> </w:t>
      </w:r>
      <w:r w:rsidRPr="00311F55">
        <w:t>s jejich zpřístupněním nebo zveřejněním.</w:t>
      </w:r>
    </w:p>
    <w:p w:rsidR="00E504FE" w:rsidRDefault="00E504FE" w:rsidP="002F76F0">
      <w:pPr>
        <w:numPr>
          <w:ilvl w:val="0"/>
          <w:numId w:val="10"/>
        </w:numPr>
        <w:spacing w:after="200"/>
        <w:jc w:val="both"/>
        <w:rPr>
          <w:rFonts w:cs="Arial"/>
        </w:rPr>
      </w:pPr>
      <w:r w:rsidRPr="00311F55">
        <w:rPr>
          <w:rFonts w:cs="Arial"/>
        </w:rPr>
        <w:t>Tato smlouva nabývá platnosti</w:t>
      </w:r>
      <w:r w:rsidR="002A30A1">
        <w:rPr>
          <w:rFonts w:cs="Arial"/>
        </w:rPr>
        <w:t xml:space="preserve"> a účinnosti</w:t>
      </w:r>
      <w:r w:rsidRPr="00311F55">
        <w:rPr>
          <w:rFonts w:cs="Arial"/>
        </w:rPr>
        <w:t xml:space="preserve"> </w:t>
      </w:r>
      <w:r>
        <w:rPr>
          <w:rFonts w:cs="Arial"/>
        </w:rPr>
        <w:t>okamžikem jejího podpisu oprávněnými zástupci obou smluvních stran.</w:t>
      </w:r>
    </w:p>
    <w:p w:rsidR="00E504FE" w:rsidRDefault="00E504FE" w:rsidP="002F76F0">
      <w:pPr>
        <w:numPr>
          <w:ilvl w:val="0"/>
          <w:numId w:val="10"/>
        </w:numPr>
        <w:spacing w:after="200"/>
        <w:jc w:val="both"/>
        <w:rPr>
          <w:rFonts w:cs="Arial"/>
        </w:rPr>
      </w:pPr>
      <w:r w:rsidRPr="0006614E">
        <w:rPr>
          <w:rFonts w:cs="Arial"/>
        </w:rPr>
        <w:t xml:space="preserve">Pro vyloučení všech pochybností se uvádí, že smluvní strany shodně považují tuto </w:t>
      </w:r>
      <w:r>
        <w:rPr>
          <w:rFonts w:cs="Arial"/>
        </w:rPr>
        <w:t>s</w:t>
      </w:r>
      <w:r w:rsidRPr="0006614E">
        <w:rPr>
          <w:rFonts w:cs="Arial"/>
        </w:rPr>
        <w:t xml:space="preserve">mlouvu za smlouvu odvážnou dle ustanovení § 2756 </w:t>
      </w:r>
      <w:r>
        <w:rPr>
          <w:rFonts w:cs="Arial"/>
        </w:rPr>
        <w:t>občanského zákoníku</w:t>
      </w:r>
      <w:r w:rsidRPr="0006614E">
        <w:rPr>
          <w:rFonts w:cs="Arial"/>
        </w:rPr>
        <w:t xml:space="preserve"> a tudíž se na závazky z ní vzniklé nepoužijí ustanovení § 1764 až 1766 </w:t>
      </w:r>
      <w:r>
        <w:rPr>
          <w:rFonts w:cs="Arial"/>
        </w:rPr>
        <w:t>občanského zákoníku</w:t>
      </w:r>
      <w:r w:rsidRPr="0006614E">
        <w:rPr>
          <w:rFonts w:cs="Arial"/>
        </w:rPr>
        <w:t xml:space="preserve"> o změně okolností a ustanovení § 1793 až 1795 </w:t>
      </w:r>
      <w:r>
        <w:rPr>
          <w:rFonts w:cs="Arial"/>
        </w:rPr>
        <w:t>občanského zákoníku</w:t>
      </w:r>
      <w:r w:rsidRPr="0006614E">
        <w:rPr>
          <w:rFonts w:cs="Arial"/>
        </w:rPr>
        <w:t xml:space="preserve"> o neúměrném zkrácení.</w:t>
      </w:r>
    </w:p>
    <w:p w:rsidR="00E504FE" w:rsidRDefault="00E504FE" w:rsidP="002F76F0">
      <w:pPr>
        <w:numPr>
          <w:ilvl w:val="0"/>
          <w:numId w:val="10"/>
        </w:numPr>
        <w:spacing w:after="200"/>
        <w:jc w:val="both"/>
        <w:rPr>
          <w:rFonts w:cs="Arial"/>
        </w:rPr>
      </w:pPr>
      <w:r w:rsidRPr="00180845">
        <w:rPr>
          <w:rFonts w:cs="Arial"/>
        </w:rPr>
        <w:t xml:space="preserve">Smluvní strany se dohodly, že veškeré spory mezi sebou budou řešit především smírem a vyvinou veškeré úsilí k tomu, aby </w:t>
      </w:r>
      <w:r>
        <w:rPr>
          <w:rFonts w:cs="Arial"/>
        </w:rPr>
        <w:t xml:space="preserve">ho </w:t>
      </w:r>
      <w:r w:rsidRPr="00180845">
        <w:rPr>
          <w:rFonts w:cs="Arial"/>
        </w:rPr>
        <w:t>byl</w:t>
      </w:r>
      <w:r>
        <w:rPr>
          <w:rFonts w:cs="Arial"/>
        </w:rPr>
        <w:t>o</w:t>
      </w:r>
      <w:r w:rsidRPr="00180845">
        <w:rPr>
          <w:rFonts w:cs="Arial"/>
        </w:rPr>
        <w:t xml:space="preserve"> dosažen</w:t>
      </w:r>
      <w:r>
        <w:rPr>
          <w:rFonts w:cs="Arial"/>
        </w:rPr>
        <w:t>o</w:t>
      </w:r>
      <w:r w:rsidRPr="00180845">
        <w:rPr>
          <w:rFonts w:cs="Arial"/>
        </w:rPr>
        <w:t>.</w:t>
      </w:r>
    </w:p>
    <w:p w:rsidR="00E504FE" w:rsidRDefault="00E504FE" w:rsidP="00DE246F"/>
    <w:p w:rsidR="00A14600" w:rsidRDefault="00A14600" w:rsidP="00DE246F"/>
    <w:p w:rsidR="00A14600" w:rsidRDefault="00A14600" w:rsidP="00DE246F">
      <w:r w:rsidRPr="001C4F31">
        <w:t xml:space="preserve">Doložka </w:t>
      </w:r>
      <w:r w:rsidR="00702EB6" w:rsidRPr="001C4F31">
        <w:t xml:space="preserve">schválení zastupitelstvem obce </w:t>
      </w:r>
      <w:r w:rsidRPr="001C4F31">
        <w:t>....</w:t>
      </w:r>
    </w:p>
    <w:p w:rsidR="00A14600" w:rsidRDefault="00A14600" w:rsidP="00DE246F"/>
    <w:p w:rsidR="00DE246F" w:rsidRDefault="00DE246F" w:rsidP="00DE246F"/>
    <w:p w:rsidR="00E504FE" w:rsidRDefault="00E504FE" w:rsidP="00E504FE">
      <w:r>
        <w:t>V .............................. dne ...................</w:t>
      </w:r>
      <w:r>
        <w:tab/>
      </w:r>
      <w:r>
        <w:tab/>
      </w:r>
      <w:r>
        <w:tab/>
        <w:t>V </w:t>
      </w:r>
      <w:r w:rsidRPr="002F76F0">
        <w:rPr>
          <w:highlight w:val="yellow"/>
        </w:rPr>
        <w:t>..........................</w:t>
      </w:r>
      <w:r>
        <w:t xml:space="preserve"> dne </w:t>
      </w:r>
      <w:r w:rsidRPr="002F76F0">
        <w:rPr>
          <w:highlight w:val="yellow"/>
        </w:rPr>
        <w:t>.......................</w:t>
      </w:r>
    </w:p>
    <w:p w:rsidR="00E504FE" w:rsidRDefault="00E504FE" w:rsidP="00E504FE"/>
    <w:p w:rsidR="00E504FE" w:rsidRDefault="00E504FE" w:rsidP="00E504FE"/>
    <w:p w:rsidR="005071E3" w:rsidRDefault="005071E3" w:rsidP="00E504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071E3" w:rsidTr="002F76F0">
        <w:tc>
          <w:tcPr>
            <w:tcW w:w="4889" w:type="dxa"/>
          </w:tcPr>
          <w:p w:rsidR="005071E3" w:rsidRDefault="005071E3" w:rsidP="00E504FE">
            <w:r>
              <w:t>Za původce odpadu:</w:t>
            </w:r>
          </w:p>
        </w:tc>
        <w:tc>
          <w:tcPr>
            <w:tcW w:w="4889" w:type="dxa"/>
          </w:tcPr>
          <w:p w:rsidR="005071E3" w:rsidRDefault="005071E3" w:rsidP="00E504FE">
            <w:r>
              <w:t>Za oprávněnou osobu:</w:t>
            </w:r>
          </w:p>
        </w:tc>
      </w:tr>
      <w:tr w:rsidR="005071E3" w:rsidTr="002F76F0">
        <w:trPr>
          <w:trHeight w:val="1555"/>
        </w:trPr>
        <w:tc>
          <w:tcPr>
            <w:tcW w:w="4889" w:type="dxa"/>
          </w:tcPr>
          <w:p w:rsidR="005071E3" w:rsidRDefault="005071E3" w:rsidP="00E504FE"/>
        </w:tc>
        <w:tc>
          <w:tcPr>
            <w:tcW w:w="4889" w:type="dxa"/>
          </w:tcPr>
          <w:p w:rsidR="005071E3" w:rsidRDefault="005071E3" w:rsidP="00E504FE"/>
        </w:tc>
      </w:tr>
      <w:tr w:rsidR="005071E3" w:rsidTr="002F76F0">
        <w:trPr>
          <w:trHeight w:val="886"/>
        </w:trPr>
        <w:tc>
          <w:tcPr>
            <w:tcW w:w="4889" w:type="dxa"/>
          </w:tcPr>
          <w:p w:rsidR="005071E3" w:rsidRDefault="005071E3" w:rsidP="002F76F0">
            <w:pPr>
              <w:jc w:val="center"/>
            </w:pPr>
            <w:r>
              <w:t>........................................................</w:t>
            </w:r>
          </w:p>
          <w:p w:rsidR="005071E3" w:rsidRPr="00C74A18" w:rsidRDefault="0052325C" w:rsidP="002F76F0">
            <w:pPr>
              <w:jc w:val="center"/>
            </w:pPr>
            <w:r>
              <w:t>Ing. Jana Chiniová</w:t>
            </w:r>
          </w:p>
          <w:p w:rsidR="005071E3" w:rsidRDefault="00C74A18" w:rsidP="002F76F0">
            <w:pPr>
              <w:jc w:val="center"/>
            </w:pPr>
            <w:r w:rsidRPr="002F76F0">
              <w:t>s</w:t>
            </w:r>
            <w:r w:rsidR="005071E3" w:rsidRPr="00C74A18">
              <w:t>tarost</w:t>
            </w:r>
            <w:r w:rsidR="0052325C">
              <w:t>k</w:t>
            </w:r>
            <w:r w:rsidR="005071E3" w:rsidRPr="00C74A18">
              <w:t>a</w:t>
            </w:r>
          </w:p>
        </w:tc>
        <w:tc>
          <w:tcPr>
            <w:tcW w:w="4889" w:type="dxa"/>
          </w:tcPr>
          <w:p w:rsidR="005071E3" w:rsidRDefault="005071E3" w:rsidP="005071E3">
            <w:pPr>
              <w:jc w:val="center"/>
            </w:pPr>
            <w:r>
              <w:t>........................................................</w:t>
            </w:r>
          </w:p>
          <w:p w:rsidR="005071E3" w:rsidRPr="002F76F0" w:rsidRDefault="005071E3" w:rsidP="005071E3">
            <w:pPr>
              <w:jc w:val="center"/>
              <w:rPr>
                <w:highlight w:val="yellow"/>
              </w:rPr>
            </w:pPr>
            <w:r w:rsidRPr="002F76F0">
              <w:rPr>
                <w:highlight w:val="yellow"/>
              </w:rPr>
              <w:t>xxxxxxxxxxxxxx</w:t>
            </w:r>
          </w:p>
          <w:p w:rsidR="005071E3" w:rsidRDefault="005071E3" w:rsidP="002F76F0">
            <w:pPr>
              <w:jc w:val="center"/>
            </w:pPr>
            <w:r w:rsidRPr="002F76F0">
              <w:rPr>
                <w:highlight w:val="yellow"/>
              </w:rPr>
              <w:t>xxxxxxxxxxxxxx</w:t>
            </w:r>
          </w:p>
        </w:tc>
      </w:tr>
    </w:tbl>
    <w:p w:rsidR="005071E3" w:rsidRDefault="005071E3" w:rsidP="00E504FE"/>
    <w:p w:rsidR="005071E3" w:rsidRDefault="005071E3" w:rsidP="00E504FE"/>
    <w:p w:rsidR="00E504FE" w:rsidRDefault="00E504FE" w:rsidP="00E504FE"/>
    <w:p w:rsidR="00DE246F" w:rsidRDefault="00DE246F" w:rsidP="00DE246F"/>
    <w:p w:rsidR="00A14600" w:rsidRDefault="00A14600" w:rsidP="00DE246F"/>
    <w:p w:rsidR="00E504FE" w:rsidRDefault="00E504FE" w:rsidP="00DE246F"/>
    <w:p w:rsidR="00DE246F" w:rsidRDefault="00DE246F" w:rsidP="00DE246F">
      <w:r w:rsidRPr="00E504FE">
        <w:rPr>
          <w:b/>
        </w:rPr>
        <w:t>Příloha č. 1</w:t>
      </w:r>
      <w:r w:rsidRPr="00DE246F">
        <w:t>:</w:t>
      </w:r>
      <w:r w:rsidR="00E504FE">
        <w:t xml:space="preserve"> </w:t>
      </w:r>
      <w:r w:rsidR="00E8541F">
        <w:t>Položkové ocenění poskytovaných služeb</w:t>
      </w:r>
      <w:r w:rsidR="00702EB6">
        <w:t xml:space="preserve"> (soupis služeb)</w:t>
      </w:r>
    </w:p>
    <w:p w:rsidR="00DE246F" w:rsidRDefault="00DE246F" w:rsidP="00DE246F"/>
    <w:p w:rsidR="00DE246F" w:rsidRDefault="00DE246F" w:rsidP="00DE246F">
      <w:bookmarkStart w:id="0" w:name="_GoBack"/>
      <w:bookmarkEnd w:id="0"/>
    </w:p>
    <w:sectPr w:rsidR="00DE246F" w:rsidSect="0023783C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B7" w:rsidRDefault="009C28B7">
      <w:r>
        <w:separator/>
      </w:r>
    </w:p>
  </w:endnote>
  <w:endnote w:type="continuationSeparator" w:id="0">
    <w:p w:rsidR="009C28B7" w:rsidRDefault="009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4" w:rsidRDefault="00BC15B4" w:rsidP="002B6ECC">
    <w:pPr>
      <w:pStyle w:val="Footer"/>
      <w:tabs>
        <w:tab w:val="clear" w:pos="4536"/>
        <w:tab w:val="clear" w:pos="9072"/>
        <w:tab w:val="left" w:pos="4275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325C">
      <w:rPr>
        <w:rStyle w:val="PageNumber"/>
        <w:noProof/>
      </w:rPr>
      <w:t>1</w:t>
    </w:r>
    <w:r>
      <w:rPr>
        <w:rStyle w:val="PageNumber"/>
      </w:rPr>
      <w:fldChar w:fldCharType="end"/>
    </w:r>
    <w:r w:rsidR="002B6ECC">
      <w:rPr>
        <w:rStyle w:val="PageNumber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B7" w:rsidRDefault="009C28B7">
      <w:r>
        <w:separator/>
      </w:r>
    </w:p>
  </w:footnote>
  <w:footnote w:type="continuationSeparator" w:id="0">
    <w:p w:rsidR="009C28B7" w:rsidRDefault="009C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77" w:rsidRDefault="00AC6877" w:rsidP="00AC6877">
    <w:pPr>
      <w:jc w:val="right"/>
      <w:outlineLvl w:val="0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</w:t>
    </w:r>
    <w:r>
      <w:rPr>
        <w:rFonts w:ascii="Calibri" w:hAnsi="Calibri"/>
        <w:b/>
        <w:sz w:val="20"/>
        <w:szCs w:val="22"/>
      </w:rPr>
      <w:t>Příloha č. 3 zadávací dokumentace</w:t>
    </w:r>
  </w:p>
  <w:p w:rsidR="00BC15B4" w:rsidRDefault="00BC15B4" w:rsidP="00DC64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FCD"/>
    <w:multiLevelType w:val="hybridMultilevel"/>
    <w:tmpl w:val="A58C9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3BD"/>
    <w:multiLevelType w:val="hybridMultilevel"/>
    <w:tmpl w:val="95E03872"/>
    <w:lvl w:ilvl="0" w:tplc="44586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13A3F"/>
    <w:multiLevelType w:val="hybridMultilevel"/>
    <w:tmpl w:val="350E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24554"/>
    <w:multiLevelType w:val="hybridMultilevel"/>
    <w:tmpl w:val="74D0B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5FD5"/>
    <w:multiLevelType w:val="hybridMultilevel"/>
    <w:tmpl w:val="222C6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0D2C"/>
    <w:multiLevelType w:val="hybridMultilevel"/>
    <w:tmpl w:val="2032A9B6"/>
    <w:lvl w:ilvl="0" w:tplc="C49055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3C771B"/>
    <w:multiLevelType w:val="hybridMultilevel"/>
    <w:tmpl w:val="76DC53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C7A4A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B0B88"/>
    <w:multiLevelType w:val="hybridMultilevel"/>
    <w:tmpl w:val="628C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22485"/>
    <w:multiLevelType w:val="multilevel"/>
    <w:tmpl w:val="80B6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3F4CDE"/>
    <w:multiLevelType w:val="hybridMultilevel"/>
    <w:tmpl w:val="76DC53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B4DA7"/>
    <w:multiLevelType w:val="hybridMultilevel"/>
    <w:tmpl w:val="219CD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1996"/>
    <w:multiLevelType w:val="hybridMultilevel"/>
    <w:tmpl w:val="219CD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57FD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94635A"/>
    <w:multiLevelType w:val="hybridMultilevel"/>
    <w:tmpl w:val="350E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C1191"/>
    <w:multiLevelType w:val="hybridMultilevel"/>
    <w:tmpl w:val="74D0B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6"/>
    <w:rsid w:val="00000F13"/>
    <w:rsid w:val="000050DA"/>
    <w:rsid w:val="00005116"/>
    <w:rsid w:val="0001317C"/>
    <w:rsid w:val="00013362"/>
    <w:rsid w:val="00022393"/>
    <w:rsid w:val="00022AAA"/>
    <w:rsid w:val="00041CDE"/>
    <w:rsid w:val="0004680C"/>
    <w:rsid w:val="00060F24"/>
    <w:rsid w:val="00081E36"/>
    <w:rsid w:val="00087157"/>
    <w:rsid w:val="000B127B"/>
    <w:rsid w:val="000C3B5B"/>
    <w:rsid w:val="000D1783"/>
    <w:rsid w:val="000D21B5"/>
    <w:rsid w:val="000D4C87"/>
    <w:rsid w:val="000D7A11"/>
    <w:rsid w:val="000E22E4"/>
    <w:rsid w:val="000E58DD"/>
    <w:rsid w:val="000F2CD8"/>
    <w:rsid w:val="000F383B"/>
    <w:rsid w:val="000F7F4F"/>
    <w:rsid w:val="00105C14"/>
    <w:rsid w:val="00111368"/>
    <w:rsid w:val="001207B3"/>
    <w:rsid w:val="00127D54"/>
    <w:rsid w:val="001305B6"/>
    <w:rsid w:val="001370D7"/>
    <w:rsid w:val="001511B6"/>
    <w:rsid w:val="00153F89"/>
    <w:rsid w:val="00170408"/>
    <w:rsid w:val="00177FDC"/>
    <w:rsid w:val="00184D1B"/>
    <w:rsid w:val="00186262"/>
    <w:rsid w:val="00187543"/>
    <w:rsid w:val="001B1880"/>
    <w:rsid w:val="001B2498"/>
    <w:rsid w:val="001C079B"/>
    <w:rsid w:val="001C13A0"/>
    <w:rsid w:val="001C4F31"/>
    <w:rsid w:val="001C6A66"/>
    <w:rsid w:val="001D2181"/>
    <w:rsid w:val="001D5940"/>
    <w:rsid w:val="001E023C"/>
    <w:rsid w:val="002137E9"/>
    <w:rsid w:val="00216D98"/>
    <w:rsid w:val="0021781D"/>
    <w:rsid w:val="00227786"/>
    <w:rsid w:val="0023783C"/>
    <w:rsid w:val="00237C06"/>
    <w:rsid w:val="00263E43"/>
    <w:rsid w:val="00272744"/>
    <w:rsid w:val="00273D91"/>
    <w:rsid w:val="00275A36"/>
    <w:rsid w:val="00287B92"/>
    <w:rsid w:val="0029205F"/>
    <w:rsid w:val="002938C8"/>
    <w:rsid w:val="002A0EAE"/>
    <w:rsid w:val="002A30A1"/>
    <w:rsid w:val="002B1DEC"/>
    <w:rsid w:val="002B2CF9"/>
    <w:rsid w:val="002B6ECC"/>
    <w:rsid w:val="002C21F0"/>
    <w:rsid w:val="002C4CE3"/>
    <w:rsid w:val="002D098D"/>
    <w:rsid w:val="002D68BF"/>
    <w:rsid w:val="002D69E1"/>
    <w:rsid w:val="002E24B0"/>
    <w:rsid w:val="002E26DE"/>
    <w:rsid w:val="002F76F0"/>
    <w:rsid w:val="00300201"/>
    <w:rsid w:val="0030204A"/>
    <w:rsid w:val="00303971"/>
    <w:rsid w:val="0031232A"/>
    <w:rsid w:val="003269F4"/>
    <w:rsid w:val="003440A4"/>
    <w:rsid w:val="0037095A"/>
    <w:rsid w:val="0037454F"/>
    <w:rsid w:val="00380E47"/>
    <w:rsid w:val="00383364"/>
    <w:rsid w:val="003961B1"/>
    <w:rsid w:val="003C7BC5"/>
    <w:rsid w:val="003D1441"/>
    <w:rsid w:val="003E2AF5"/>
    <w:rsid w:val="003E49BB"/>
    <w:rsid w:val="0041283E"/>
    <w:rsid w:val="004224CE"/>
    <w:rsid w:val="00443532"/>
    <w:rsid w:val="004477D1"/>
    <w:rsid w:val="0046017C"/>
    <w:rsid w:val="0046764A"/>
    <w:rsid w:val="00473812"/>
    <w:rsid w:val="00477A4C"/>
    <w:rsid w:val="00485718"/>
    <w:rsid w:val="00493759"/>
    <w:rsid w:val="004A0C96"/>
    <w:rsid w:val="004A5550"/>
    <w:rsid w:val="004B5B44"/>
    <w:rsid w:val="004C1156"/>
    <w:rsid w:val="004C6068"/>
    <w:rsid w:val="004D2B56"/>
    <w:rsid w:val="004D4C17"/>
    <w:rsid w:val="004E0306"/>
    <w:rsid w:val="004F1353"/>
    <w:rsid w:val="004F2D89"/>
    <w:rsid w:val="005071E3"/>
    <w:rsid w:val="0052325C"/>
    <w:rsid w:val="00530B37"/>
    <w:rsid w:val="00542B41"/>
    <w:rsid w:val="00550879"/>
    <w:rsid w:val="00554C92"/>
    <w:rsid w:val="00560808"/>
    <w:rsid w:val="005638F6"/>
    <w:rsid w:val="00577881"/>
    <w:rsid w:val="005A5316"/>
    <w:rsid w:val="005B7DD4"/>
    <w:rsid w:val="005C1FF6"/>
    <w:rsid w:val="005C5FF7"/>
    <w:rsid w:val="005E27B9"/>
    <w:rsid w:val="005F016C"/>
    <w:rsid w:val="005F6BAC"/>
    <w:rsid w:val="00600570"/>
    <w:rsid w:val="00601B03"/>
    <w:rsid w:val="006113E4"/>
    <w:rsid w:val="00612039"/>
    <w:rsid w:val="00620488"/>
    <w:rsid w:val="00621507"/>
    <w:rsid w:val="00637F09"/>
    <w:rsid w:val="0064029D"/>
    <w:rsid w:val="00646667"/>
    <w:rsid w:val="00657699"/>
    <w:rsid w:val="006724D1"/>
    <w:rsid w:val="00676B2B"/>
    <w:rsid w:val="00683471"/>
    <w:rsid w:val="006871D8"/>
    <w:rsid w:val="00696482"/>
    <w:rsid w:val="006A2CEB"/>
    <w:rsid w:val="006A3E19"/>
    <w:rsid w:val="006B46AA"/>
    <w:rsid w:val="006C63B3"/>
    <w:rsid w:val="006D5023"/>
    <w:rsid w:val="006E17F2"/>
    <w:rsid w:val="006E1D9E"/>
    <w:rsid w:val="006E61CB"/>
    <w:rsid w:val="00702EB6"/>
    <w:rsid w:val="00704FA5"/>
    <w:rsid w:val="007102C2"/>
    <w:rsid w:val="00712DEC"/>
    <w:rsid w:val="0072125D"/>
    <w:rsid w:val="00743814"/>
    <w:rsid w:val="00751143"/>
    <w:rsid w:val="00753768"/>
    <w:rsid w:val="00754987"/>
    <w:rsid w:val="00754C2F"/>
    <w:rsid w:val="00766533"/>
    <w:rsid w:val="00770DC3"/>
    <w:rsid w:val="00772F14"/>
    <w:rsid w:val="007838CE"/>
    <w:rsid w:val="00793671"/>
    <w:rsid w:val="007A5701"/>
    <w:rsid w:val="007C0855"/>
    <w:rsid w:val="007D06FE"/>
    <w:rsid w:val="007D184D"/>
    <w:rsid w:val="007D2838"/>
    <w:rsid w:val="007D4D83"/>
    <w:rsid w:val="007E0B5B"/>
    <w:rsid w:val="007F50EC"/>
    <w:rsid w:val="007F53A0"/>
    <w:rsid w:val="00804BD5"/>
    <w:rsid w:val="008230CA"/>
    <w:rsid w:val="00823670"/>
    <w:rsid w:val="00825F60"/>
    <w:rsid w:val="008324AA"/>
    <w:rsid w:val="008439B0"/>
    <w:rsid w:val="00850874"/>
    <w:rsid w:val="00851837"/>
    <w:rsid w:val="00871245"/>
    <w:rsid w:val="008839D2"/>
    <w:rsid w:val="00893F01"/>
    <w:rsid w:val="008964CB"/>
    <w:rsid w:val="008976BE"/>
    <w:rsid w:val="008B1EEE"/>
    <w:rsid w:val="008B262A"/>
    <w:rsid w:val="008B7448"/>
    <w:rsid w:val="008C16D6"/>
    <w:rsid w:val="008C2781"/>
    <w:rsid w:val="008D2A3D"/>
    <w:rsid w:val="008D4910"/>
    <w:rsid w:val="008E0A32"/>
    <w:rsid w:val="008E62C8"/>
    <w:rsid w:val="008E789D"/>
    <w:rsid w:val="00902107"/>
    <w:rsid w:val="0091761D"/>
    <w:rsid w:val="00920B2B"/>
    <w:rsid w:val="00923A93"/>
    <w:rsid w:val="00927A56"/>
    <w:rsid w:val="00932125"/>
    <w:rsid w:val="009328F4"/>
    <w:rsid w:val="00934B8E"/>
    <w:rsid w:val="00942056"/>
    <w:rsid w:val="0094709A"/>
    <w:rsid w:val="00951045"/>
    <w:rsid w:val="00973EC2"/>
    <w:rsid w:val="00977D07"/>
    <w:rsid w:val="00992B4D"/>
    <w:rsid w:val="00992C85"/>
    <w:rsid w:val="00997A85"/>
    <w:rsid w:val="009A11A3"/>
    <w:rsid w:val="009B454F"/>
    <w:rsid w:val="009C138B"/>
    <w:rsid w:val="009C28B7"/>
    <w:rsid w:val="009D3711"/>
    <w:rsid w:val="009D6125"/>
    <w:rsid w:val="009E1D3F"/>
    <w:rsid w:val="009E364E"/>
    <w:rsid w:val="009F02E9"/>
    <w:rsid w:val="00A028B9"/>
    <w:rsid w:val="00A14600"/>
    <w:rsid w:val="00A2498D"/>
    <w:rsid w:val="00A31FCD"/>
    <w:rsid w:val="00A41112"/>
    <w:rsid w:val="00A424F6"/>
    <w:rsid w:val="00A53729"/>
    <w:rsid w:val="00A540BC"/>
    <w:rsid w:val="00A6249A"/>
    <w:rsid w:val="00A63006"/>
    <w:rsid w:val="00A64A9F"/>
    <w:rsid w:val="00A660B1"/>
    <w:rsid w:val="00AA12C7"/>
    <w:rsid w:val="00AA55EF"/>
    <w:rsid w:val="00AB00CF"/>
    <w:rsid w:val="00AB5EA9"/>
    <w:rsid w:val="00AC14D2"/>
    <w:rsid w:val="00AC3A3F"/>
    <w:rsid w:val="00AC47FF"/>
    <w:rsid w:val="00AC6877"/>
    <w:rsid w:val="00AC735F"/>
    <w:rsid w:val="00AC75CB"/>
    <w:rsid w:val="00AD2753"/>
    <w:rsid w:val="00AE1DDC"/>
    <w:rsid w:val="00AE560B"/>
    <w:rsid w:val="00AE6E31"/>
    <w:rsid w:val="00AF3BD1"/>
    <w:rsid w:val="00B10043"/>
    <w:rsid w:val="00B13E1A"/>
    <w:rsid w:val="00B1556D"/>
    <w:rsid w:val="00B236DD"/>
    <w:rsid w:val="00B37540"/>
    <w:rsid w:val="00B67B28"/>
    <w:rsid w:val="00B80391"/>
    <w:rsid w:val="00B819C3"/>
    <w:rsid w:val="00B863C8"/>
    <w:rsid w:val="00B878F9"/>
    <w:rsid w:val="00B90319"/>
    <w:rsid w:val="00BA0BCC"/>
    <w:rsid w:val="00BB012D"/>
    <w:rsid w:val="00BB2642"/>
    <w:rsid w:val="00BC08E1"/>
    <w:rsid w:val="00BC15B4"/>
    <w:rsid w:val="00BD162C"/>
    <w:rsid w:val="00BD5981"/>
    <w:rsid w:val="00BF5FA6"/>
    <w:rsid w:val="00BF67ED"/>
    <w:rsid w:val="00BF797C"/>
    <w:rsid w:val="00C01AF9"/>
    <w:rsid w:val="00C357CE"/>
    <w:rsid w:val="00C425AC"/>
    <w:rsid w:val="00C455AD"/>
    <w:rsid w:val="00C564C5"/>
    <w:rsid w:val="00C63DDA"/>
    <w:rsid w:val="00C64785"/>
    <w:rsid w:val="00C734A1"/>
    <w:rsid w:val="00C74A18"/>
    <w:rsid w:val="00C7619E"/>
    <w:rsid w:val="00C80C88"/>
    <w:rsid w:val="00CA066F"/>
    <w:rsid w:val="00CA3986"/>
    <w:rsid w:val="00CC01EF"/>
    <w:rsid w:val="00CD3752"/>
    <w:rsid w:val="00CE4318"/>
    <w:rsid w:val="00CE4C2B"/>
    <w:rsid w:val="00CF3E8C"/>
    <w:rsid w:val="00D15C0E"/>
    <w:rsid w:val="00D26CA3"/>
    <w:rsid w:val="00D42289"/>
    <w:rsid w:val="00D53714"/>
    <w:rsid w:val="00D57EBE"/>
    <w:rsid w:val="00D63087"/>
    <w:rsid w:val="00D651DC"/>
    <w:rsid w:val="00D826F5"/>
    <w:rsid w:val="00D8722F"/>
    <w:rsid w:val="00D9272E"/>
    <w:rsid w:val="00D9400B"/>
    <w:rsid w:val="00D952E6"/>
    <w:rsid w:val="00DA189D"/>
    <w:rsid w:val="00DA2B23"/>
    <w:rsid w:val="00DA4682"/>
    <w:rsid w:val="00DC64D6"/>
    <w:rsid w:val="00DC6CAB"/>
    <w:rsid w:val="00DD4D87"/>
    <w:rsid w:val="00DE246F"/>
    <w:rsid w:val="00E33C8F"/>
    <w:rsid w:val="00E504FE"/>
    <w:rsid w:val="00E518B4"/>
    <w:rsid w:val="00E564E2"/>
    <w:rsid w:val="00E70355"/>
    <w:rsid w:val="00E71733"/>
    <w:rsid w:val="00E74D53"/>
    <w:rsid w:val="00E835A7"/>
    <w:rsid w:val="00E8541F"/>
    <w:rsid w:val="00E86A76"/>
    <w:rsid w:val="00E94388"/>
    <w:rsid w:val="00E95024"/>
    <w:rsid w:val="00EA17A6"/>
    <w:rsid w:val="00EA1818"/>
    <w:rsid w:val="00EA2215"/>
    <w:rsid w:val="00ED3454"/>
    <w:rsid w:val="00ED5B19"/>
    <w:rsid w:val="00EE751E"/>
    <w:rsid w:val="00EF7525"/>
    <w:rsid w:val="00EF7838"/>
    <w:rsid w:val="00F0275E"/>
    <w:rsid w:val="00F039A2"/>
    <w:rsid w:val="00F13AF2"/>
    <w:rsid w:val="00F1548C"/>
    <w:rsid w:val="00F17B08"/>
    <w:rsid w:val="00F31DC7"/>
    <w:rsid w:val="00F3278D"/>
    <w:rsid w:val="00F40FF4"/>
    <w:rsid w:val="00F421C2"/>
    <w:rsid w:val="00F423B4"/>
    <w:rsid w:val="00F43648"/>
    <w:rsid w:val="00F50464"/>
    <w:rsid w:val="00F51A36"/>
    <w:rsid w:val="00F524EA"/>
    <w:rsid w:val="00F57AA9"/>
    <w:rsid w:val="00F60939"/>
    <w:rsid w:val="00F6310A"/>
    <w:rsid w:val="00F76D02"/>
    <w:rsid w:val="00F94DEB"/>
    <w:rsid w:val="00F95E4F"/>
    <w:rsid w:val="00F96164"/>
    <w:rsid w:val="00FC3FD3"/>
    <w:rsid w:val="00FC7C26"/>
    <w:rsid w:val="00FD36CC"/>
    <w:rsid w:val="00FE3E7F"/>
    <w:rsid w:val="00FE5CA9"/>
    <w:rsid w:val="00FF093C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504FE"/>
    <w:pPr>
      <w:keepNext/>
      <w:keepLines/>
      <w:spacing w:before="480" w:line="276" w:lineRule="auto"/>
      <w:ind w:firstLine="708"/>
      <w:jc w:val="center"/>
      <w:outlineLvl w:val="0"/>
    </w:pPr>
    <w:rPr>
      <w:rFonts w:ascii="Calibri" w:eastAsia="Calibri" w:hAnsi="Calibri" w:cs="Arial"/>
      <w:b/>
      <w:bCs/>
      <w:kern w:val="1"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4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64D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4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3759"/>
    <w:rPr>
      <w:color w:val="0000FF"/>
      <w:u w:val="single"/>
    </w:rPr>
  </w:style>
  <w:style w:type="character" w:styleId="PageNumber">
    <w:name w:val="page number"/>
    <w:basedOn w:val="DefaultParagraphFont"/>
    <w:rsid w:val="00E95024"/>
  </w:style>
  <w:style w:type="paragraph" w:styleId="ListParagraph">
    <w:name w:val="List Paragraph"/>
    <w:basedOn w:val="Normal"/>
    <w:uiPriority w:val="34"/>
    <w:qFormat/>
    <w:rsid w:val="00153F89"/>
    <w:pPr>
      <w:ind w:left="708"/>
    </w:pPr>
  </w:style>
  <w:style w:type="character" w:styleId="CommentReference">
    <w:name w:val="annotation reference"/>
    <w:rsid w:val="008D2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A3D"/>
  </w:style>
  <w:style w:type="paragraph" w:styleId="CommentSubject">
    <w:name w:val="annotation subject"/>
    <w:basedOn w:val="CommentText"/>
    <w:next w:val="CommentText"/>
    <w:link w:val="CommentSubjectChar"/>
    <w:rsid w:val="008D2A3D"/>
    <w:rPr>
      <w:b/>
      <w:bCs/>
    </w:rPr>
  </w:style>
  <w:style w:type="character" w:customStyle="1" w:styleId="CommentSubjectChar">
    <w:name w:val="Comment Subject Char"/>
    <w:link w:val="CommentSubject"/>
    <w:rsid w:val="008D2A3D"/>
    <w:rPr>
      <w:b/>
      <w:bCs/>
    </w:rPr>
  </w:style>
  <w:style w:type="paragraph" w:styleId="BalloonText">
    <w:name w:val="Balloon Text"/>
    <w:basedOn w:val="Normal"/>
    <w:link w:val="BalloonTextChar"/>
    <w:rsid w:val="008D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504FE"/>
    <w:rPr>
      <w:rFonts w:ascii="Calibri" w:eastAsia="Calibri" w:hAnsi="Calibri" w:cs="Arial"/>
      <w:b/>
      <w:bCs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504FE"/>
    <w:pPr>
      <w:keepNext/>
      <w:keepLines/>
      <w:spacing w:before="480" w:line="276" w:lineRule="auto"/>
      <w:ind w:firstLine="708"/>
      <w:jc w:val="center"/>
      <w:outlineLvl w:val="0"/>
    </w:pPr>
    <w:rPr>
      <w:rFonts w:ascii="Calibri" w:eastAsia="Calibri" w:hAnsi="Calibri" w:cs="Arial"/>
      <w:b/>
      <w:bCs/>
      <w:kern w:val="1"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4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64D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4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3759"/>
    <w:rPr>
      <w:color w:val="0000FF"/>
      <w:u w:val="single"/>
    </w:rPr>
  </w:style>
  <w:style w:type="character" w:styleId="PageNumber">
    <w:name w:val="page number"/>
    <w:basedOn w:val="DefaultParagraphFont"/>
    <w:rsid w:val="00E95024"/>
  </w:style>
  <w:style w:type="paragraph" w:styleId="ListParagraph">
    <w:name w:val="List Paragraph"/>
    <w:basedOn w:val="Normal"/>
    <w:uiPriority w:val="34"/>
    <w:qFormat/>
    <w:rsid w:val="00153F89"/>
    <w:pPr>
      <w:ind w:left="708"/>
    </w:pPr>
  </w:style>
  <w:style w:type="character" w:styleId="CommentReference">
    <w:name w:val="annotation reference"/>
    <w:rsid w:val="008D2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A3D"/>
  </w:style>
  <w:style w:type="paragraph" w:styleId="CommentSubject">
    <w:name w:val="annotation subject"/>
    <w:basedOn w:val="CommentText"/>
    <w:next w:val="CommentText"/>
    <w:link w:val="CommentSubjectChar"/>
    <w:rsid w:val="008D2A3D"/>
    <w:rPr>
      <w:b/>
      <w:bCs/>
    </w:rPr>
  </w:style>
  <w:style w:type="character" w:customStyle="1" w:styleId="CommentSubjectChar">
    <w:name w:val="Comment Subject Char"/>
    <w:link w:val="CommentSubject"/>
    <w:rsid w:val="008D2A3D"/>
    <w:rPr>
      <w:b/>
      <w:bCs/>
    </w:rPr>
  </w:style>
  <w:style w:type="paragraph" w:styleId="BalloonText">
    <w:name w:val="Balloon Text"/>
    <w:basedOn w:val="Normal"/>
    <w:link w:val="BalloonTextChar"/>
    <w:rsid w:val="008D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504FE"/>
    <w:rPr>
      <w:rFonts w:ascii="Calibri" w:eastAsia="Calibri" w:hAnsi="Calibri" w:cs="Arial"/>
      <w:b/>
      <w:bCs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ec-ceska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2B18-0576-4E54-BC39-17AB9B71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2343</Words>
  <Characters>13827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&lt;Default&gt;rweumwelt.cz</Company>
  <LinksUpToDate>false</LinksUpToDate>
  <CharactersWithSpaces>16138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mailto:lelekovice@volny.cz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horakpe</dc:creator>
  <cp:lastModifiedBy>Stanislav Kopecký</cp:lastModifiedBy>
  <cp:revision>12</cp:revision>
  <cp:lastPrinted>2017-03-12T15:40:00Z</cp:lastPrinted>
  <dcterms:created xsi:type="dcterms:W3CDTF">2017-05-03T04:19:00Z</dcterms:created>
  <dcterms:modified xsi:type="dcterms:W3CDTF">2017-05-03T11:26:00Z</dcterms:modified>
</cp:coreProperties>
</file>