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BFA4" w14:textId="77777777" w:rsidR="003E6DE1" w:rsidRDefault="003E6DE1" w:rsidP="003E6DE1">
      <w:pPr>
        <w:jc w:val="center"/>
      </w:pPr>
      <w:r w:rsidRPr="00160B84">
        <w:t xml:space="preserve">Pro </w:t>
      </w:r>
      <w:r>
        <w:t>výběrové řízení</w:t>
      </w:r>
      <w:r w:rsidRPr="00160B84">
        <w:t>:</w:t>
      </w:r>
    </w:p>
    <w:p w14:paraId="5E93CAF2" w14:textId="77777777" w:rsidR="003E6DE1" w:rsidRPr="00160B84" w:rsidRDefault="003E6DE1" w:rsidP="003E6DE1">
      <w:pPr>
        <w:jc w:val="center"/>
      </w:pPr>
    </w:p>
    <w:p w14:paraId="66DD93FB" w14:textId="4263A9DE" w:rsidR="003E6DE1" w:rsidRPr="00D16A65" w:rsidRDefault="003E6DE1" w:rsidP="003E6DE1">
      <w:pPr>
        <w:jc w:val="center"/>
        <w:rPr>
          <w:b/>
          <w:sz w:val="28"/>
          <w:szCs w:val="28"/>
        </w:rPr>
      </w:pPr>
      <w:r w:rsidRPr="00E432AD">
        <w:rPr>
          <w:b/>
          <w:sz w:val="32"/>
          <w:szCs w:val="32"/>
        </w:rPr>
        <w:t>„</w:t>
      </w:r>
      <w:r w:rsidR="000D459D">
        <w:rPr>
          <w:b/>
          <w:sz w:val="28"/>
          <w:szCs w:val="28"/>
        </w:rPr>
        <w:t>C</w:t>
      </w:r>
      <w:r w:rsidR="000D459D" w:rsidRPr="000D459D">
        <w:rPr>
          <w:b/>
          <w:sz w:val="28"/>
          <w:szCs w:val="28"/>
        </w:rPr>
        <w:t>entrovací stroj pro opracování optických dílů</w:t>
      </w:r>
      <w:r w:rsidRPr="00E432AD">
        <w:rPr>
          <w:b/>
          <w:sz w:val="28"/>
          <w:szCs w:val="28"/>
        </w:rPr>
        <w:t>“</w:t>
      </w:r>
    </w:p>
    <w:p w14:paraId="5D82FDDE" w14:textId="77777777" w:rsidR="003E6DE1" w:rsidRPr="00160B84" w:rsidRDefault="003E6DE1" w:rsidP="003E6DE1">
      <w:pPr>
        <w:jc w:val="center"/>
        <w:rPr>
          <w:b/>
          <w:sz w:val="32"/>
          <w:szCs w:val="32"/>
        </w:rPr>
      </w:pPr>
    </w:p>
    <w:p w14:paraId="055206E4" w14:textId="30A42506" w:rsidR="003E6DE1" w:rsidRDefault="003E6DE1" w:rsidP="003E6DE1">
      <w:pPr>
        <w:pStyle w:val="Zkladntext"/>
        <w:ind w:left="993" w:hanging="993"/>
        <w:jc w:val="both"/>
      </w:pPr>
      <w:r w:rsidRPr="002F166B">
        <w:rPr>
          <w:b/>
        </w:rPr>
        <w:t>Projekt:</w:t>
      </w:r>
      <w:r>
        <w:t xml:space="preserve"> </w:t>
      </w:r>
      <w:r>
        <w:tab/>
      </w:r>
      <w:r w:rsidR="00780332" w:rsidRPr="00337172">
        <w:rPr>
          <w:rStyle w:val="datalabel"/>
        </w:rPr>
        <w:t>CZ.01.1.02/0.0/0.0/</w:t>
      </w:r>
      <w:r w:rsidR="00780332">
        <w:rPr>
          <w:rStyle w:val="datalabel"/>
        </w:rPr>
        <w:t>17_109/0011130</w:t>
      </w:r>
      <w:r w:rsidR="00780332">
        <w:t xml:space="preserve"> </w:t>
      </w:r>
      <w:r>
        <w:t>„</w:t>
      </w:r>
      <w:r w:rsidR="00780332" w:rsidRPr="00780332">
        <w:t>Inovace ve společnosti Meopta - optika, s.r.o.</w:t>
      </w:r>
      <w:r>
        <w:t>“</w:t>
      </w:r>
    </w:p>
    <w:p w14:paraId="36DF191E" w14:textId="77777777" w:rsidR="003E6DE1" w:rsidRPr="00160B84" w:rsidRDefault="003E6DE1" w:rsidP="003E6DE1">
      <w:pPr>
        <w:jc w:val="both"/>
      </w:pPr>
    </w:p>
    <w:p w14:paraId="27D367E5" w14:textId="4C8A20C1" w:rsidR="003E6DE1" w:rsidRDefault="003E6DE1" w:rsidP="003E6DE1">
      <w:pPr>
        <w:jc w:val="both"/>
      </w:pPr>
      <w:r w:rsidRPr="00882CAA">
        <w:t>Zadávací dokumentace je zpracována v souladu s Pravidly pro výběr dodavatelů v Operačním programu Podnikání a inovace pro konkurenceschopnost (OP</w:t>
      </w:r>
      <w:r w:rsidR="00563D17" w:rsidRPr="00882CAA">
        <w:t xml:space="preserve"> </w:t>
      </w:r>
      <w:r w:rsidRPr="00882CAA">
        <w:t>PIK)</w:t>
      </w:r>
      <w:r w:rsidR="00AC3FD5" w:rsidRPr="00882CAA">
        <w:t xml:space="preserve">, </w:t>
      </w:r>
      <w:proofErr w:type="gramStart"/>
      <w:r w:rsidR="00AC3FD5" w:rsidRPr="00882CAA">
        <w:t>č.j.</w:t>
      </w:r>
      <w:proofErr w:type="gramEnd"/>
      <w:r w:rsidR="00AC3FD5" w:rsidRPr="00882CAA">
        <w:t xml:space="preserve"> MPO </w:t>
      </w:r>
      <w:r w:rsidR="00882CAA" w:rsidRPr="00882CAA">
        <w:t>77867</w:t>
      </w:r>
      <w:r w:rsidR="00AC3FD5" w:rsidRPr="00882CAA">
        <w:t xml:space="preserve">/17/61100, platnost od </w:t>
      </w:r>
      <w:r w:rsidR="00882CAA" w:rsidRPr="00882CAA">
        <w:t>7.12.2017, účinnost od 15.1.2018.</w:t>
      </w:r>
    </w:p>
    <w:p w14:paraId="7445876B" w14:textId="77777777" w:rsidR="003E6DE1" w:rsidRPr="00A93826" w:rsidRDefault="003E6DE1" w:rsidP="003E6DE1">
      <w:pPr>
        <w:pStyle w:val="Nadpis1"/>
      </w:pPr>
      <w:r w:rsidRPr="00A93826">
        <w:t>1. Identifikace zadavatele</w:t>
      </w:r>
    </w:p>
    <w:p w14:paraId="2A68FBCC" w14:textId="77777777" w:rsidR="003E6DE1" w:rsidRPr="00816AA2" w:rsidRDefault="003E6DE1" w:rsidP="003E6DE1">
      <w:pPr>
        <w:spacing w:line="360" w:lineRule="auto"/>
        <w:jc w:val="both"/>
        <w:rPr>
          <w:bCs/>
        </w:rPr>
      </w:pPr>
      <w:r w:rsidRPr="002F166B">
        <w:rPr>
          <w:b/>
          <w:bCs/>
        </w:rPr>
        <w:t>Název zadavatele:</w:t>
      </w:r>
      <w:r>
        <w:rPr>
          <w:bCs/>
        </w:rPr>
        <w:tab/>
      </w:r>
      <w:r>
        <w:rPr>
          <w:bCs/>
        </w:rPr>
        <w:tab/>
      </w:r>
      <w:r>
        <w:rPr>
          <w:bCs/>
        </w:rPr>
        <w:tab/>
      </w:r>
      <w:r w:rsidRPr="00816AA2">
        <w:rPr>
          <w:b/>
          <w:bCs/>
        </w:rPr>
        <w:t>Meopta – optika, s.r.o.</w:t>
      </w:r>
    </w:p>
    <w:p w14:paraId="1890988E" w14:textId="77777777" w:rsidR="003E6DE1" w:rsidRPr="00816AA2" w:rsidRDefault="003E6DE1" w:rsidP="003E6DE1">
      <w:pPr>
        <w:spacing w:line="360" w:lineRule="auto"/>
        <w:jc w:val="both"/>
        <w:rPr>
          <w:bCs/>
        </w:rPr>
      </w:pPr>
      <w:r w:rsidRPr="002F166B">
        <w:rPr>
          <w:b/>
          <w:bCs/>
        </w:rPr>
        <w:t>Sídlo zadavatele:</w:t>
      </w:r>
      <w:r w:rsidRPr="00816AA2">
        <w:rPr>
          <w:bCs/>
        </w:rPr>
        <w:t xml:space="preserve"> </w:t>
      </w:r>
      <w:r>
        <w:rPr>
          <w:bCs/>
        </w:rPr>
        <w:tab/>
      </w:r>
      <w:r>
        <w:rPr>
          <w:bCs/>
        </w:rPr>
        <w:tab/>
      </w:r>
      <w:r>
        <w:rPr>
          <w:bCs/>
        </w:rPr>
        <w:tab/>
      </w:r>
      <w:proofErr w:type="spellStart"/>
      <w:r w:rsidRPr="00816AA2">
        <w:rPr>
          <w:bCs/>
        </w:rPr>
        <w:t>Kabelíkova</w:t>
      </w:r>
      <w:proofErr w:type="spellEnd"/>
      <w:r w:rsidRPr="00816AA2">
        <w:rPr>
          <w:bCs/>
        </w:rPr>
        <w:t xml:space="preserve"> 2682/1, 750 02 Přerov</w:t>
      </w:r>
    </w:p>
    <w:p w14:paraId="7E393216" w14:textId="77777777" w:rsidR="003E6DE1" w:rsidRPr="00816AA2" w:rsidRDefault="003E6DE1" w:rsidP="003E6DE1">
      <w:pPr>
        <w:spacing w:line="360" w:lineRule="auto"/>
        <w:jc w:val="both"/>
        <w:rPr>
          <w:bCs/>
        </w:rPr>
      </w:pPr>
      <w:r w:rsidRPr="002F166B">
        <w:rPr>
          <w:b/>
          <w:bCs/>
        </w:rPr>
        <w:t>Kód obce dle ZÚJ:</w:t>
      </w:r>
      <w:r w:rsidRPr="00816AA2">
        <w:rPr>
          <w:bCs/>
        </w:rPr>
        <w:t xml:space="preserve"> </w:t>
      </w:r>
      <w:r>
        <w:rPr>
          <w:bCs/>
        </w:rPr>
        <w:tab/>
      </w:r>
      <w:r>
        <w:rPr>
          <w:bCs/>
        </w:rPr>
        <w:tab/>
      </w:r>
      <w:r>
        <w:rPr>
          <w:bCs/>
        </w:rPr>
        <w:tab/>
      </w:r>
      <w:r w:rsidRPr="00816AA2">
        <w:rPr>
          <w:bCs/>
        </w:rPr>
        <w:t>511382</w:t>
      </w:r>
    </w:p>
    <w:p w14:paraId="7343602A" w14:textId="77777777" w:rsidR="003E6DE1" w:rsidRPr="00816AA2" w:rsidRDefault="003E6DE1" w:rsidP="003E6DE1">
      <w:pPr>
        <w:spacing w:line="360" w:lineRule="auto"/>
        <w:jc w:val="both"/>
        <w:rPr>
          <w:bCs/>
        </w:rPr>
      </w:pPr>
      <w:r w:rsidRPr="002F166B">
        <w:rPr>
          <w:b/>
          <w:bCs/>
        </w:rPr>
        <w:t>Právní forma:</w:t>
      </w:r>
      <w:r w:rsidRPr="00816AA2">
        <w:rPr>
          <w:bCs/>
        </w:rPr>
        <w:t xml:space="preserve"> </w:t>
      </w:r>
      <w:r>
        <w:rPr>
          <w:bCs/>
        </w:rPr>
        <w:tab/>
      </w:r>
      <w:r>
        <w:rPr>
          <w:bCs/>
        </w:rPr>
        <w:tab/>
      </w:r>
      <w:r w:rsidRPr="00816AA2">
        <w:rPr>
          <w:bCs/>
        </w:rPr>
        <w:tab/>
        <w:t xml:space="preserve">společnost s ručením omezeným, kód právní formy 112 </w:t>
      </w:r>
    </w:p>
    <w:p w14:paraId="7ACD13EE" w14:textId="77777777" w:rsidR="003E6DE1" w:rsidRPr="00816AA2" w:rsidRDefault="003E6DE1" w:rsidP="003E6DE1">
      <w:pPr>
        <w:spacing w:line="360" w:lineRule="auto"/>
        <w:jc w:val="both"/>
        <w:rPr>
          <w:bCs/>
        </w:rPr>
      </w:pPr>
      <w:r w:rsidRPr="002F166B">
        <w:rPr>
          <w:b/>
          <w:bCs/>
        </w:rPr>
        <w:t>IČ:</w:t>
      </w:r>
      <w:r w:rsidRPr="00816AA2">
        <w:rPr>
          <w:bCs/>
        </w:rPr>
        <w:t xml:space="preserve"> </w:t>
      </w:r>
      <w:r>
        <w:rPr>
          <w:bCs/>
        </w:rPr>
        <w:tab/>
      </w:r>
      <w:r>
        <w:rPr>
          <w:bCs/>
        </w:rPr>
        <w:tab/>
      </w:r>
      <w:r>
        <w:rPr>
          <w:bCs/>
        </w:rPr>
        <w:tab/>
      </w:r>
      <w:r>
        <w:rPr>
          <w:bCs/>
        </w:rPr>
        <w:tab/>
      </w:r>
      <w:r>
        <w:rPr>
          <w:bCs/>
        </w:rPr>
        <w:tab/>
      </w:r>
      <w:r w:rsidRPr="00816AA2">
        <w:rPr>
          <w:bCs/>
        </w:rPr>
        <w:t>47677023</w:t>
      </w:r>
    </w:p>
    <w:p w14:paraId="28828839" w14:textId="77777777" w:rsidR="003E6DE1" w:rsidRPr="00816AA2" w:rsidRDefault="003E6DE1" w:rsidP="003E6DE1">
      <w:pPr>
        <w:spacing w:line="360" w:lineRule="auto"/>
        <w:jc w:val="both"/>
        <w:rPr>
          <w:bCs/>
        </w:rPr>
      </w:pPr>
      <w:r w:rsidRPr="002F166B">
        <w:rPr>
          <w:b/>
          <w:bCs/>
        </w:rPr>
        <w:t>DIČ:</w:t>
      </w:r>
      <w:r w:rsidRPr="00816AA2">
        <w:rPr>
          <w:bCs/>
        </w:rPr>
        <w:t xml:space="preserve"> </w:t>
      </w:r>
      <w:r>
        <w:rPr>
          <w:bCs/>
        </w:rPr>
        <w:tab/>
      </w:r>
      <w:r>
        <w:rPr>
          <w:bCs/>
        </w:rPr>
        <w:tab/>
      </w:r>
      <w:r>
        <w:rPr>
          <w:bCs/>
        </w:rPr>
        <w:tab/>
      </w:r>
      <w:r>
        <w:rPr>
          <w:bCs/>
        </w:rPr>
        <w:tab/>
      </w:r>
      <w:r>
        <w:rPr>
          <w:bCs/>
        </w:rPr>
        <w:tab/>
      </w:r>
      <w:r w:rsidRPr="00816AA2">
        <w:rPr>
          <w:bCs/>
        </w:rPr>
        <w:t>CZ47677023</w:t>
      </w:r>
    </w:p>
    <w:p w14:paraId="32B0C8CD" w14:textId="77777777" w:rsidR="003E6DE1" w:rsidRPr="00816AA2" w:rsidRDefault="003E6DE1" w:rsidP="003E6DE1">
      <w:pPr>
        <w:spacing w:line="360" w:lineRule="auto"/>
        <w:jc w:val="both"/>
        <w:rPr>
          <w:bCs/>
        </w:rPr>
      </w:pPr>
      <w:r w:rsidRPr="002F166B">
        <w:rPr>
          <w:b/>
          <w:bCs/>
        </w:rPr>
        <w:t>Statutární orgán:</w:t>
      </w:r>
      <w:r>
        <w:rPr>
          <w:bCs/>
        </w:rPr>
        <w:tab/>
      </w:r>
      <w:r>
        <w:rPr>
          <w:bCs/>
        </w:rPr>
        <w:tab/>
      </w:r>
      <w:r>
        <w:rPr>
          <w:bCs/>
        </w:rPr>
        <w:tab/>
      </w:r>
      <w:r w:rsidRPr="00816AA2">
        <w:rPr>
          <w:bCs/>
        </w:rPr>
        <w:t>Ing. Vítězslav Moťka, jednatel</w:t>
      </w:r>
    </w:p>
    <w:p w14:paraId="43142EFF" w14:textId="77777777" w:rsidR="003E6DE1" w:rsidRPr="0084275D" w:rsidRDefault="003E6DE1" w:rsidP="003E6DE1">
      <w:pPr>
        <w:spacing w:line="360" w:lineRule="auto"/>
        <w:jc w:val="both"/>
        <w:rPr>
          <w:bCs/>
        </w:rPr>
      </w:pPr>
      <w:r w:rsidRPr="002F166B">
        <w:rPr>
          <w:b/>
          <w:bCs/>
        </w:rPr>
        <w:t>Kontaktní osoba zadavatele:</w:t>
      </w:r>
      <w:r w:rsidRPr="0084275D">
        <w:rPr>
          <w:bCs/>
        </w:rPr>
        <w:tab/>
        <w:t>Ing. Lucie Moťková</w:t>
      </w:r>
    </w:p>
    <w:p w14:paraId="785BD442" w14:textId="77777777" w:rsidR="003E6DE1" w:rsidRPr="0084275D" w:rsidRDefault="003E6DE1" w:rsidP="003E6DE1">
      <w:pPr>
        <w:spacing w:line="360" w:lineRule="auto"/>
        <w:jc w:val="both"/>
        <w:rPr>
          <w:bCs/>
        </w:rPr>
      </w:pPr>
      <w:r w:rsidRPr="002F166B">
        <w:rPr>
          <w:b/>
          <w:bCs/>
        </w:rPr>
        <w:t>Tel</w:t>
      </w:r>
      <w:r>
        <w:rPr>
          <w:b/>
          <w:bCs/>
        </w:rPr>
        <w:t>efon</w:t>
      </w:r>
      <w:r w:rsidRPr="002F166B">
        <w:rPr>
          <w:b/>
          <w:bCs/>
        </w:rPr>
        <w:t>:</w:t>
      </w:r>
      <w:r w:rsidRPr="0084275D">
        <w:rPr>
          <w:bCs/>
        </w:rPr>
        <w:tab/>
      </w:r>
      <w:r w:rsidRPr="0084275D">
        <w:rPr>
          <w:bCs/>
        </w:rPr>
        <w:tab/>
      </w:r>
      <w:r w:rsidRPr="0084275D">
        <w:rPr>
          <w:bCs/>
        </w:rPr>
        <w:tab/>
      </w:r>
      <w:r w:rsidRPr="0084275D">
        <w:rPr>
          <w:bCs/>
        </w:rPr>
        <w:tab/>
        <w:t>+420 581 242 12</w:t>
      </w:r>
      <w:r w:rsidRPr="002F166B">
        <w:rPr>
          <w:bCs/>
        </w:rPr>
        <w:t>8</w:t>
      </w:r>
      <w:r w:rsidRPr="0084275D">
        <w:rPr>
          <w:bCs/>
        </w:rPr>
        <w:t>, +420</w:t>
      </w:r>
      <w:r w:rsidRPr="002F166B">
        <w:rPr>
          <w:bCs/>
        </w:rPr>
        <w:t> </w:t>
      </w:r>
      <w:r w:rsidRPr="0084275D">
        <w:rPr>
          <w:bCs/>
        </w:rPr>
        <w:t>733 591 719</w:t>
      </w:r>
    </w:p>
    <w:p w14:paraId="75EAF031" w14:textId="77777777" w:rsidR="003E6DE1" w:rsidRPr="00816AA2" w:rsidRDefault="003E6DE1" w:rsidP="003E6DE1">
      <w:pPr>
        <w:spacing w:line="360" w:lineRule="auto"/>
        <w:jc w:val="both"/>
        <w:rPr>
          <w:bCs/>
        </w:rPr>
      </w:pPr>
      <w:r w:rsidRPr="002F166B">
        <w:rPr>
          <w:b/>
          <w:bCs/>
        </w:rPr>
        <w:t>E-mail:</w:t>
      </w:r>
      <w:r w:rsidRPr="0084275D">
        <w:rPr>
          <w:bCs/>
        </w:rPr>
        <w:tab/>
      </w:r>
      <w:r w:rsidRPr="0084275D">
        <w:rPr>
          <w:bCs/>
        </w:rPr>
        <w:tab/>
      </w:r>
      <w:r>
        <w:rPr>
          <w:bCs/>
        </w:rPr>
        <w:tab/>
      </w:r>
      <w:r w:rsidRPr="0084275D">
        <w:rPr>
          <w:bCs/>
        </w:rPr>
        <w:tab/>
      </w:r>
      <w:r w:rsidRPr="002F166B">
        <w:rPr>
          <w:bCs/>
        </w:rPr>
        <w:t>Lucie.Motkova</w:t>
      </w:r>
      <w:r w:rsidRPr="0084275D">
        <w:rPr>
          <w:bCs/>
        </w:rPr>
        <w:t>@meopta.com</w:t>
      </w:r>
    </w:p>
    <w:p w14:paraId="510D90B2" w14:textId="77777777" w:rsidR="003E6DE1" w:rsidRDefault="003E6DE1" w:rsidP="003E6DE1">
      <w:pPr>
        <w:spacing w:line="360" w:lineRule="auto"/>
        <w:jc w:val="both"/>
      </w:pPr>
      <w:r>
        <w:t>Dále jen “z</w:t>
      </w:r>
      <w:r w:rsidRPr="00816AA2">
        <w:t>adavatel“</w:t>
      </w:r>
    </w:p>
    <w:p w14:paraId="1074D11D" w14:textId="77777777" w:rsidR="003E6DE1" w:rsidRPr="00816AA2" w:rsidRDefault="003E6DE1" w:rsidP="003E6DE1">
      <w:pPr>
        <w:spacing w:line="360" w:lineRule="auto"/>
        <w:jc w:val="both"/>
      </w:pPr>
    </w:p>
    <w:p w14:paraId="6C86EDD8" w14:textId="77777777" w:rsidR="003E6DE1" w:rsidRPr="001049F5" w:rsidRDefault="003E6DE1" w:rsidP="00337172">
      <w:pPr>
        <w:pStyle w:val="Nadpis1"/>
        <w:jc w:val="both"/>
      </w:pPr>
      <w:r w:rsidRPr="005B59B7">
        <w:t>2. Vymezení předmětu zakázky a požadavků zadavatele</w:t>
      </w:r>
    </w:p>
    <w:p w14:paraId="0822C502" w14:textId="056757E5" w:rsidR="002D113F" w:rsidRDefault="000D459D" w:rsidP="002D113F">
      <w:pPr>
        <w:jc w:val="both"/>
      </w:pPr>
      <w:r>
        <w:t>Předmětem zakázky je dodávka</w:t>
      </w:r>
      <w:r w:rsidR="002D113F">
        <w:t xml:space="preserve">, transport na místo, </w:t>
      </w:r>
      <w:r w:rsidR="002D113F" w:rsidRPr="00CC2DA2">
        <w:t>instalace, zaškolení obsluhy</w:t>
      </w:r>
      <w:r w:rsidR="002D113F">
        <w:t xml:space="preserve"> a</w:t>
      </w:r>
      <w:r w:rsidR="002D113F" w:rsidRPr="00CC2DA2">
        <w:t xml:space="preserve"> uvedení do užívání </w:t>
      </w:r>
      <w:r w:rsidR="00F136DE">
        <w:t xml:space="preserve">1 ks </w:t>
      </w:r>
      <w:r>
        <w:t>c</w:t>
      </w:r>
      <w:r w:rsidRPr="000D459D">
        <w:t>entrovací</w:t>
      </w:r>
      <w:r>
        <w:t>ho</w:t>
      </w:r>
      <w:r w:rsidRPr="000D459D">
        <w:t xml:space="preserve"> stroj</w:t>
      </w:r>
      <w:r>
        <w:t>e</w:t>
      </w:r>
      <w:r w:rsidRPr="000D459D">
        <w:t xml:space="preserve"> pro opracování optických dílů </w:t>
      </w:r>
      <w:r w:rsidR="002D113F">
        <w:t>včetně příslušenství dle dále specifikovaných podmínek</w:t>
      </w:r>
      <w:r w:rsidR="002D113F" w:rsidRPr="00CC2DA2">
        <w:t>.</w:t>
      </w:r>
    </w:p>
    <w:p w14:paraId="68F95EA0" w14:textId="77777777" w:rsidR="000D459D" w:rsidRDefault="000D459D" w:rsidP="002D113F">
      <w:pPr>
        <w:jc w:val="both"/>
      </w:pPr>
    </w:p>
    <w:p w14:paraId="41B001AF" w14:textId="33AFE0FE" w:rsidR="000D459D" w:rsidRDefault="000D459D" w:rsidP="002D113F">
      <w:pPr>
        <w:jc w:val="both"/>
      </w:pPr>
      <w:r w:rsidRPr="000D459D">
        <w:t xml:space="preserve">CNC centrovací stroj musí odpovídat nejmodernějším standardům roku </w:t>
      </w:r>
      <w:r w:rsidRPr="00ED22E2">
        <w:t>2017</w:t>
      </w:r>
      <w:r w:rsidRPr="000D459D">
        <w:t xml:space="preserve"> a musí být schopen opracovávat všechny běžně dostupné rotačně symetrické i rotačně nesymetrické typy čoček tak, aby byl zhotoven správný rozměr, odstraněna mimoběžnost os vlivem ostatních operací a byly zhotoveny případné fazety. Stroj musí být vybaven minimálně pěti osami, řízené CNC systémem a dotykovým ovládacím panelem.</w:t>
      </w:r>
    </w:p>
    <w:p w14:paraId="38EC8DFB" w14:textId="77777777" w:rsidR="002D113F" w:rsidRDefault="002D113F" w:rsidP="002D113F">
      <w:pPr>
        <w:ind w:left="3540" w:hanging="3540"/>
        <w:jc w:val="both"/>
        <w:rPr>
          <w:bCs/>
        </w:rPr>
      </w:pPr>
    </w:p>
    <w:p w14:paraId="2A736E60" w14:textId="77777777" w:rsidR="00BC65C6" w:rsidRDefault="00BC65C6" w:rsidP="002D113F">
      <w:pPr>
        <w:ind w:left="3540" w:hanging="3540"/>
        <w:jc w:val="both"/>
        <w:rPr>
          <w:bCs/>
        </w:rPr>
      </w:pPr>
    </w:p>
    <w:p w14:paraId="0B86221D" w14:textId="77777777" w:rsidR="000D459D" w:rsidRDefault="000D459D" w:rsidP="002D113F">
      <w:pPr>
        <w:ind w:left="3540" w:hanging="3540"/>
        <w:jc w:val="both"/>
        <w:rPr>
          <w:bCs/>
        </w:rPr>
      </w:pPr>
    </w:p>
    <w:p w14:paraId="660FAF1F" w14:textId="7D573820" w:rsidR="002D113F" w:rsidRDefault="002D113F" w:rsidP="002D113F">
      <w:pPr>
        <w:jc w:val="both"/>
        <w:rPr>
          <w:b/>
          <w:bCs/>
        </w:rPr>
      </w:pPr>
      <w:r w:rsidRPr="004C128E">
        <w:rPr>
          <w:b/>
          <w:bCs/>
        </w:rPr>
        <w:lastRenderedPageBreak/>
        <w:t>Technické požadavky:</w:t>
      </w:r>
    </w:p>
    <w:p w14:paraId="02BE2968" w14:textId="77777777" w:rsidR="002D113F" w:rsidRPr="00D87267" w:rsidRDefault="002D113F" w:rsidP="002D113F">
      <w:pPr>
        <w:jc w:val="both"/>
        <w:rPr>
          <w:b/>
          <w:bCs/>
        </w:rPr>
      </w:pPr>
    </w:p>
    <w:tbl>
      <w:tblPr>
        <w:tblStyle w:val="Mkatabulky"/>
        <w:tblW w:w="0" w:type="auto"/>
        <w:tblLook w:val="04A0" w:firstRow="1" w:lastRow="0" w:firstColumn="1" w:lastColumn="0" w:noHBand="0" w:noVBand="1"/>
      </w:tblPr>
      <w:tblGrid>
        <w:gridCol w:w="4106"/>
        <w:gridCol w:w="4956"/>
      </w:tblGrid>
      <w:tr w:rsidR="000D459D" w14:paraId="6F5B92DF" w14:textId="77777777" w:rsidTr="000D459D">
        <w:trPr>
          <w:trHeight w:val="340"/>
        </w:trPr>
        <w:tc>
          <w:tcPr>
            <w:tcW w:w="4106" w:type="dxa"/>
            <w:vAlign w:val="center"/>
          </w:tcPr>
          <w:p w14:paraId="5F03D34D"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Rozsah průměru obrobku</w:t>
            </w:r>
          </w:p>
        </w:tc>
        <w:tc>
          <w:tcPr>
            <w:tcW w:w="4956" w:type="dxa"/>
            <w:vAlign w:val="center"/>
          </w:tcPr>
          <w:p w14:paraId="30CE2483" w14:textId="77777777" w:rsidR="000D459D" w:rsidRPr="000D459D" w:rsidRDefault="000D459D" w:rsidP="000D459D">
            <w:pPr>
              <w:rPr>
                <w:rFonts w:ascii="Times New Roman" w:hAnsi="Times New Roman" w:cs="Times New Roman"/>
              </w:rPr>
            </w:pPr>
            <w:proofErr w:type="gramStart"/>
            <w:r w:rsidRPr="000D459D">
              <w:rPr>
                <w:rFonts w:ascii="Times New Roman" w:hAnsi="Times New Roman" w:cs="Times New Roman"/>
              </w:rPr>
              <w:t>Ø 1– 50mm</w:t>
            </w:r>
            <w:proofErr w:type="gramEnd"/>
          </w:p>
        </w:tc>
      </w:tr>
      <w:tr w:rsidR="000D459D" w14:paraId="02656214" w14:textId="77777777" w:rsidTr="000D459D">
        <w:trPr>
          <w:trHeight w:val="340"/>
        </w:trPr>
        <w:tc>
          <w:tcPr>
            <w:tcW w:w="4106" w:type="dxa"/>
            <w:vAlign w:val="center"/>
          </w:tcPr>
          <w:p w14:paraId="271E7AB0"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Počet brousících diamantových nástrojů</w:t>
            </w:r>
          </w:p>
        </w:tc>
        <w:tc>
          <w:tcPr>
            <w:tcW w:w="4956" w:type="dxa"/>
            <w:vAlign w:val="center"/>
          </w:tcPr>
          <w:p w14:paraId="57556736"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 xml:space="preserve">2 </w:t>
            </w:r>
          </w:p>
        </w:tc>
      </w:tr>
      <w:tr w:rsidR="000D459D" w14:paraId="3A2E0816" w14:textId="77777777" w:rsidTr="000D459D">
        <w:trPr>
          <w:trHeight w:val="340"/>
        </w:trPr>
        <w:tc>
          <w:tcPr>
            <w:tcW w:w="4106" w:type="dxa"/>
            <w:vAlign w:val="center"/>
          </w:tcPr>
          <w:p w14:paraId="06705C7B"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Počet os</w:t>
            </w:r>
          </w:p>
        </w:tc>
        <w:tc>
          <w:tcPr>
            <w:tcW w:w="4956" w:type="dxa"/>
            <w:vAlign w:val="center"/>
          </w:tcPr>
          <w:p w14:paraId="1F988B8B" w14:textId="46B8194F" w:rsidR="000D459D" w:rsidRPr="000D459D" w:rsidRDefault="000D459D" w:rsidP="000D459D">
            <w:pPr>
              <w:rPr>
                <w:rFonts w:ascii="Times New Roman" w:hAnsi="Times New Roman" w:cs="Times New Roman"/>
              </w:rPr>
            </w:pPr>
            <w:r w:rsidRPr="000D459D">
              <w:rPr>
                <w:rFonts w:ascii="Times New Roman" w:hAnsi="Times New Roman" w:cs="Times New Roman"/>
              </w:rPr>
              <w:t>Minimálně 5</w:t>
            </w:r>
            <w:r>
              <w:rPr>
                <w:rFonts w:ascii="Times New Roman" w:hAnsi="Times New Roman" w:cs="Times New Roman"/>
              </w:rPr>
              <w:t xml:space="preserve"> </w:t>
            </w:r>
            <w:r w:rsidRPr="000D459D">
              <w:rPr>
                <w:rFonts w:ascii="Times New Roman" w:hAnsi="Times New Roman" w:cs="Times New Roman"/>
              </w:rPr>
              <w:t>(X1, X2, Z1, Z2, W), C volitelně</w:t>
            </w:r>
          </w:p>
        </w:tc>
      </w:tr>
      <w:tr w:rsidR="000D459D" w14:paraId="48976CC8" w14:textId="77777777" w:rsidTr="000D459D">
        <w:trPr>
          <w:trHeight w:val="340"/>
        </w:trPr>
        <w:tc>
          <w:tcPr>
            <w:tcW w:w="4106" w:type="dxa"/>
            <w:vAlign w:val="center"/>
          </w:tcPr>
          <w:p w14:paraId="12F91238"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Upínání pouzder</w:t>
            </w:r>
          </w:p>
        </w:tc>
        <w:tc>
          <w:tcPr>
            <w:tcW w:w="4956" w:type="dxa"/>
            <w:vAlign w:val="center"/>
          </w:tcPr>
          <w:p w14:paraId="783C9E72" w14:textId="1FAFBBF3" w:rsidR="000D459D" w:rsidRPr="000D459D" w:rsidRDefault="000D459D" w:rsidP="000D459D">
            <w:pPr>
              <w:rPr>
                <w:rFonts w:ascii="Times New Roman" w:hAnsi="Times New Roman" w:cs="Times New Roman"/>
              </w:rPr>
            </w:pPr>
            <w:r w:rsidRPr="000D459D">
              <w:rPr>
                <w:rFonts w:ascii="Times New Roman" w:hAnsi="Times New Roman" w:cs="Times New Roman"/>
              </w:rPr>
              <w:t xml:space="preserve">Ø12x25, </w:t>
            </w:r>
            <w:proofErr w:type="spellStart"/>
            <w:r w:rsidRPr="000D459D">
              <w:rPr>
                <w:rFonts w:ascii="Times New Roman" w:hAnsi="Times New Roman" w:cs="Times New Roman"/>
              </w:rPr>
              <w:t>hydrodehn</w:t>
            </w:r>
            <w:proofErr w:type="spellEnd"/>
          </w:p>
        </w:tc>
      </w:tr>
      <w:tr w:rsidR="000D459D" w14:paraId="4630776E" w14:textId="77777777" w:rsidTr="000D459D">
        <w:trPr>
          <w:trHeight w:val="340"/>
        </w:trPr>
        <w:tc>
          <w:tcPr>
            <w:tcW w:w="4106" w:type="dxa"/>
            <w:vAlign w:val="center"/>
          </w:tcPr>
          <w:p w14:paraId="743507C0"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Tvarové broušení</w:t>
            </w:r>
          </w:p>
        </w:tc>
        <w:tc>
          <w:tcPr>
            <w:tcW w:w="4956" w:type="dxa"/>
            <w:vAlign w:val="center"/>
          </w:tcPr>
          <w:p w14:paraId="31773B73"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Ano</w:t>
            </w:r>
          </w:p>
        </w:tc>
      </w:tr>
      <w:tr w:rsidR="000D459D" w14:paraId="0E7E1F01" w14:textId="77777777" w:rsidTr="000D459D">
        <w:trPr>
          <w:trHeight w:val="340"/>
        </w:trPr>
        <w:tc>
          <w:tcPr>
            <w:tcW w:w="4106" w:type="dxa"/>
            <w:vAlign w:val="center"/>
          </w:tcPr>
          <w:p w14:paraId="4C6289D5"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Usazovaní pomocí laseru</w:t>
            </w:r>
          </w:p>
        </w:tc>
        <w:tc>
          <w:tcPr>
            <w:tcW w:w="4956" w:type="dxa"/>
            <w:vAlign w:val="center"/>
          </w:tcPr>
          <w:p w14:paraId="7B4E862B"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Ano, volitelné</w:t>
            </w:r>
          </w:p>
        </w:tc>
      </w:tr>
      <w:tr w:rsidR="000D459D" w14:paraId="2222407E" w14:textId="77777777" w:rsidTr="000D459D">
        <w:trPr>
          <w:trHeight w:val="340"/>
        </w:trPr>
        <w:tc>
          <w:tcPr>
            <w:tcW w:w="4106" w:type="dxa"/>
            <w:vAlign w:val="center"/>
          </w:tcPr>
          <w:p w14:paraId="177814C0"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Chlazení vnitřních komponentů stroje</w:t>
            </w:r>
          </w:p>
        </w:tc>
        <w:tc>
          <w:tcPr>
            <w:tcW w:w="4956" w:type="dxa"/>
            <w:vAlign w:val="center"/>
          </w:tcPr>
          <w:p w14:paraId="74C0C3BE"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Ano</w:t>
            </w:r>
          </w:p>
        </w:tc>
      </w:tr>
      <w:tr w:rsidR="000D459D" w14:paraId="6100BC0A" w14:textId="77777777" w:rsidTr="000D459D">
        <w:trPr>
          <w:trHeight w:val="340"/>
        </w:trPr>
        <w:tc>
          <w:tcPr>
            <w:tcW w:w="4106" w:type="dxa"/>
            <w:vAlign w:val="center"/>
          </w:tcPr>
          <w:p w14:paraId="1710EDFA"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Opakovatelnost polohování</w:t>
            </w:r>
          </w:p>
        </w:tc>
        <w:tc>
          <w:tcPr>
            <w:tcW w:w="4956" w:type="dxa"/>
            <w:vAlign w:val="center"/>
          </w:tcPr>
          <w:p w14:paraId="7F865F3E"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+/- 0,001mm</w:t>
            </w:r>
          </w:p>
        </w:tc>
      </w:tr>
      <w:tr w:rsidR="000D459D" w14:paraId="08250A6D" w14:textId="77777777" w:rsidTr="000D459D">
        <w:trPr>
          <w:trHeight w:val="340"/>
        </w:trPr>
        <w:tc>
          <w:tcPr>
            <w:tcW w:w="4106" w:type="dxa"/>
            <w:vAlign w:val="center"/>
          </w:tcPr>
          <w:p w14:paraId="743AC8D6"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Opakovatelnost polohování pro osu C</w:t>
            </w:r>
          </w:p>
        </w:tc>
        <w:tc>
          <w:tcPr>
            <w:tcW w:w="4956" w:type="dxa"/>
            <w:vAlign w:val="center"/>
          </w:tcPr>
          <w:p w14:paraId="0E37A797"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+/- 4´´</w:t>
            </w:r>
          </w:p>
        </w:tc>
      </w:tr>
      <w:tr w:rsidR="000D459D" w14:paraId="3D8DFE45" w14:textId="77777777" w:rsidTr="000D459D">
        <w:trPr>
          <w:trHeight w:val="340"/>
        </w:trPr>
        <w:tc>
          <w:tcPr>
            <w:tcW w:w="4106" w:type="dxa"/>
            <w:vAlign w:val="center"/>
          </w:tcPr>
          <w:p w14:paraId="100D9E6A"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 xml:space="preserve">Řezná rychlost </w:t>
            </w:r>
          </w:p>
        </w:tc>
        <w:tc>
          <w:tcPr>
            <w:tcW w:w="4956" w:type="dxa"/>
            <w:vAlign w:val="center"/>
          </w:tcPr>
          <w:p w14:paraId="7582FF6D" w14:textId="77777777" w:rsidR="000D459D" w:rsidRPr="000D459D" w:rsidRDefault="000D459D" w:rsidP="000D459D">
            <w:pPr>
              <w:rPr>
                <w:rFonts w:ascii="Times New Roman" w:hAnsi="Times New Roman" w:cs="Times New Roman"/>
              </w:rPr>
            </w:pPr>
            <w:r w:rsidRPr="000D459D">
              <w:rPr>
                <w:rFonts w:ascii="Times New Roman" w:hAnsi="Times New Roman" w:cs="Times New Roman"/>
              </w:rPr>
              <w:t>0-30m/s, plynule volitelné</w:t>
            </w:r>
          </w:p>
        </w:tc>
      </w:tr>
      <w:tr w:rsidR="000D459D" w14:paraId="7C67D43F" w14:textId="77777777" w:rsidTr="000D459D">
        <w:trPr>
          <w:trHeight w:val="340"/>
        </w:trPr>
        <w:tc>
          <w:tcPr>
            <w:tcW w:w="9062" w:type="dxa"/>
            <w:gridSpan w:val="2"/>
            <w:vAlign w:val="center"/>
          </w:tcPr>
          <w:p w14:paraId="614A59E7" w14:textId="0BDC48A2" w:rsidR="000D459D" w:rsidRPr="000D459D" w:rsidRDefault="000D459D" w:rsidP="000D459D">
            <w:pPr>
              <w:rPr>
                <w:rFonts w:ascii="Times New Roman" w:hAnsi="Times New Roman" w:cs="Times New Roman"/>
              </w:rPr>
            </w:pPr>
            <w:r w:rsidRPr="000D459D">
              <w:rPr>
                <w:rFonts w:ascii="Times New Roman" w:hAnsi="Times New Roman" w:cs="Times New Roman"/>
              </w:rPr>
              <w:t xml:space="preserve">Dodatečná možnost přídavné automatizace </w:t>
            </w:r>
          </w:p>
        </w:tc>
      </w:tr>
      <w:tr w:rsidR="000D459D" w14:paraId="5F87D367" w14:textId="77777777" w:rsidTr="000D459D">
        <w:trPr>
          <w:trHeight w:val="340"/>
        </w:trPr>
        <w:tc>
          <w:tcPr>
            <w:tcW w:w="9062" w:type="dxa"/>
            <w:gridSpan w:val="2"/>
            <w:vAlign w:val="center"/>
          </w:tcPr>
          <w:p w14:paraId="62EAA9FA" w14:textId="0B618DC9" w:rsidR="000D459D" w:rsidRPr="000D459D" w:rsidRDefault="000D459D" w:rsidP="000D459D">
            <w:pPr>
              <w:rPr>
                <w:rFonts w:ascii="Times New Roman" w:hAnsi="Times New Roman" w:cs="Times New Roman"/>
              </w:rPr>
            </w:pPr>
            <w:r w:rsidRPr="000D459D">
              <w:rPr>
                <w:rFonts w:ascii="Times New Roman" w:hAnsi="Times New Roman" w:cs="Times New Roman"/>
              </w:rPr>
              <w:t>Možnost budoucích softwarových upgradů</w:t>
            </w:r>
          </w:p>
        </w:tc>
      </w:tr>
      <w:tr w:rsidR="000D459D" w14:paraId="56A4B4E1" w14:textId="77777777" w:rsidTr="000D459D">
        <w:trPr>
          <w:trHeight w:val="340"/>
        </w:trPr>
        <w:tc>
          <w:tcPr>
            <w:tcW w:w="9062" w:type="dxa"/>
            <w:gridSpan w:val="2"/>
            <w:vAlign w:val="center"/>
          </w:tcPr>
          <w:p w14:paraId="0EDD30C5" w14:textId="5F23DA9D" w:rsidR="000D459D" w:rsidRPr="000D459D" w:rsidRDefault="000D459D" w:rsidP="000D459D">
            <w:pPr>
              <w:rPr>
                <w:rFonts w:ascii="Times New Roman" w:hAnsi="Times New Roman" w:cs="Times New Roman"/>
              </w:rPr>
            </w:pPr>
            <w:r w:rsidRPr="000D459D">
              <w:rPr>
                <w:rFonts w:ascii="Times New Roman" w:hAnsi="Times New Roman" w:cs="Times New Roman"/>
              </w:rPr>
              <w:t>Možnost vzdáleného připojení a diagnostiky ze strany výrobce stroje</w:t>
            </w:r>
          </w:p>
        </w:tc>
      </w:tr>
      <w:tr w:rsidR="000D459D" w14:paraId="229ADD7D" w14:textId="77777777" w:rsidTr="000D459D">
        <w:trPr>
          <w:trHeight w:val="340"/>
        </w:trPr>
        <w:tc>
          <w:tcPr>
            <w:tcW w:w="9062" w:type="dxa"/>
            <w:gridSpan w:val="2"/>
            <w:vAlign w:val="center"/>
          </w:tcPr>
          <w:p w14:paraId="6659EB0A" w14:textId="3E12A180" w:rsidR="000D459D" w:rsidRPr="000D459D" w:rsidRDefault="000D459D" w:rsidP="000D459D">
            <w:pPr>
              <w:rPr>
                <w:rFonts w:ascii="Times New Roman" w:hAnsi="Times New Roman" w:cs="Times New Roman"/>
              </w:rPr>
            </w:pPr>
            <w:r w:rsidRPr="000D459D">
              <w:rPr>
                <w:rFonts w:ascii="Times New Roman" w:hAnsi="Times New Roman" w:cs="Times New Roman"/>
              </w:rPr>
              <w:t>Intuitivní softwarové zadávání parametrů včetně simulace procesu</w:t>
            </w:r>
          </w:p>
        </w:tc>
      </w:tr>
      <w:tr w:rsidR="000D459D" w14:paraId="226759D4" w14:textId="77777777" w:rsidTr="000D459D">
        <w:trPr>
          <w:trHeight w:val="340"/>
        </w:trPr>
        <w:tc>
          <w:tcPr>
            <w:tcW w:w="9062" w:type="dxa"/>
            <w:gridSpan w:val="2"/>
            <w:vAlign w:val="center"/>
          </w:tcPr>
          <w:p w14:paraId="480C7EC0" w14:textId="67D360C5" w:rsidR="000D459D" w:rsidRPr="000D459D" w:rsidRDefault="000D459D" w:rsidP="000D459D">
            <w:pPr>
              <w:rPr>
                <w:rFonts w:ascii="Times New Roman" w:hAnsi="Times New Roman" w:cs="Times New Roman"/>
              </w:rPr>
            </w:pPr>
            <w:r w:rsidRPr="000D459D">
              <w:rPr>
                <w:rFonts w:ascii="Times New Roman" w:hAnsi="Times New Roman" w:cs="Times New Roman"/>
              </w:rPr>
              <w:t>Možnost provedení jednotlivých operací po krocích – v libovolném pořadí, s možností de-aktivace, úpravy</w:t>
            </w:r>
          </w:p>
        </w:tc>
      </w:tr>
      <w:tr w:rsidR="000D459D" w14:paraId="5EBC5D0B" w14:textId="77777777" w:rsidTr="000D459D">
        <w:trPr>
          <w:trHeight w:val="340"/>
        </w:trPr>
        <w:tc>
          <w:tcPr>
            <w:tcW w:w="9062" w:type="dxa"/>
            <w:gridSpan w:val="2"/>
            <w:vAlign w:val="center"/>
          </w:tcPr>
          <w:p w14:paraId="79341952" w14:textId="41EEC6B4" w:rsidR="000D459D" w:rsidRPr="000D459D" w:rsidRDefault="000D459D" w:rsidP="000D459D">
            <w:pPr>
              <w:rPr>
                <w:rFonts w:ascii="Times New Roman" w:hAnsi="Times New Roman" w:cs="Times New Roman"/>
              </w:rPr>
            </w:pPr>
            <w:r w:rsidRPr="000D459D">
              <w:rPr>
                <w:rFonts w:ascii="Times New Roman" w:hAnsi="Times New Roman" w:cs="Times New Roman"/>
              </w:rPr>
              <w:t>Tuhá a stabilní konstrukce centrovacího stroje</w:t>
            </w:r>
          </w:p>
        </w:tc>
      </w:tr>
      <w:tr w:rsidR="000D459D" w14:paraId="35A2F057" w14:textId="77777777" w:rsidTr="000D459D">
        <w:trPr>
          <w:trHeight w:val="340"/>
        </w:trPr>
        <w:tc>
          <w:tcPr>
            <w:tcW w:w="9062" w:type="dxa"/>
            <w:gridSpan w:val="2"/>
            <w:vAlign w:val="center"/>
          </w:tcPr>
          <w:p w14:paraId="5ECE9124" w14:textId="26FA35A9" w:rsidR="000D459D" w:rsidRPr="000D459D" w:rsidRDefault="000D459D" w:rsidP="000D459D">
            <w:pPr>
              <w:rPr>
                <w:rFonts w:ascii="Times New Roman" w:hAnsi="Times New Roman" w:cs="Times New Roman"/>
              </w:rPr>
            </w:pPr>
            <w:r w:rsidRPr="000D459D">
              <w:rPr>
                <w:rFonts w:ascii="Times New Roman" w:hAnsi="Times New Roman" w:cs="Times New Roman"/>
              </w:rPr>
              <w:t>Možnost obrábění oběma brousícími kotouči najednou</w:t>
            </w:r>
          </w:p>
        </w:tc>
      </w:tr>
      <w:tr w:rsidR="000D459D" w14:paraId="473B0D52" w14:textId="77777777" w:rsidTr="000D459D">
        <w:trPr>
          <w:trHeight w:val="340"/>
        </w:trPr>
        <w:tc>
          <w:tcPr>
            <w:tcW w:w="9062" w:type="dxa"/>
            <w:gridSpan w:val="2"/>
            <w:vAlign w:val="center"/>
          </w:tcPr>
          <w:p w14:paraId="0440DBC0" w14:textId="37EACE33" w:rsidR="000D459D" w:rsidRPr="000D459D" w:rsidRDefault="000D459D" w:rsidP="000D459D">
            <w:pPr>
              <w:rPr>
                <w:rFonts w:ascii="Times New Roman" w:hAnsi="Times New Roman" w:cs="Times New Roman"/>
              </w:rPr>
            </w:pPr>
            <w:r w:rsidRPr="000D459D">
              <w:rPr>
                <w:rFonts w:ascii="Times New Roman" w:hAnsi="Times New Roman" w:cs="Times New Roman"/>
              </w:rPr>
              <w:t>Elektronická kompenzace středové tloušťky</w:t>
            </w:r>
          </w:p>
        </w:tc>
      </w:tr>
      <w:tr w:rsidR="000D459D" w14:paraId="670BEEEA" w14:textId="77777777" w:rsidTr="000D459D">
        <w:trPr>
          <w:trHeight w:val="340"/>
        </w:trPr>
        <w:tc>
          <w:tcPr>
            <w:tcW w:w="9062" w:type="dxa"/>
            <w:gridSpan w:val="2"/>
            <w:vAlign w:val="center"/>
          </w:tcPr>
          <w:p w14:paraId="41D016EA" w14:textId="5A4C032E" w:rsidR="000D459D" w:rsidRPr="000D459D" w:rsidRDefault="000D459D" w:rsidP="000D459D">
            <w:pPr>
              <w:rPr>
                <w:rFonts w:ascii="Times New Roman" w:hAnsi="Times New Roman" w:cs="Times New Roman"/>
              </w:rPr>
            </w:pPr>
            <w:r w:rsidRPr="000D459D">
              <w:rPr>
                <w:rFonts w:ascii="Times New Roman" w:hAnsi="Times New Roman" w:cs="Times New Roman"/>
              </w:rPr>
              <w:t>Jednoduchá výměna nástrojů a pouzder</w:t>
            </w:r>
          </w:p>
        </w:tc>
      </w:tr>
      <w:tr w:rsidR="000D459D" w14:paraId="603672B5" w14:textId="77777777" w:rsidTr="000D459D">
        <w:trPr>
          <w:trHeight w:val="340"/>
        </w:trPr>
        <w:tc>
          <w:tcPr>
            <w:tcW w:w="9062" w:type="dxa"/>
            <w:gridSpan w:val="2"/>
            <w:vAlign w:val="center"/>
          </w:tcPr>
          <w:p w14:paraId="133B2CE8" w14:textId="47AE7B3A" w:rsidR="000D459D" w:rsidRPr="000D459D" w:rsidRDefault="000D459D" w:rsidP="000D459D">
            <w:pPr>
              <w:rPr>
                <w:rFonts w:ascii="Times New Roman" w:hAnsi="Times New Roman" w:cs="Times New Roman"/>
              </w:rPr>
            </w:pPr>
            <w:r w:rsidRPr="000D459D">
              <w:rPr>
                <w:rFonts w:ascii="Times New Roman" w:hAnsi="Times New Roman" w:cs="Times New Roman"/>
              </w:rPr>
              <w:t>Laserový usazovací systém</w:t>
            </w:r>
          </w:p>
        </w:tc>
      </w:tr>
      <w:tr w:rsidR="000D459D" w14:paraId="3A8E0A1C" w14:textId="77777777" w:rsidTr="000D459D">
        <w:trPr>
          <w:trHeight w:val="340"/>
        </w:trPr>
        <w:tc>
          <w:tcPr>
            <w:tcW w:w="9062" w:type="dxa"/>
            <w:gridSpan w:val="2"/>
            <w:vAlign w:val="center"/>
          </w:tcPr>
          <w:p w14:paraId="5FD2F1AB" w14:textId="11663B80" w:rsidR="000D459D" w:rsidRPr="000D459D" w:rsidRDefault="000D459D" w:rsidP="000D459D">
            <w:pPr>
              <w:rPr>
                <w:rFonts w:ascii="Times New Roman" w:hAnsi="Times New Roman" w:cs="Times New Roman"/>
              </w:rPr>
            </w:pPr>
            <w:r w:rsidRPr="000D459D">
              <w:rPr>
                <w:rFonts w:ascii="Times New Roman" w:hAnsi="Times New Roman" w:cs="Times New Roman"/>
              </w:rPr>
              <w:t xml:space="preserve">Ke stroji musí být dodané originální brousící nástroje a sada centrovacích pouzder. Sada pouzder v rozmezí Ø2 - Ø45mm + dvě sady brousících nástrojů Ø120mm. </w:t>
            </w:r>
          </w:p>
        </w:tc>
      </w:tr>
      <w:tr w:rsidR="000D459D" w14:paraId="365D1616" w14:textId="77777777" w:rsidTr="000D459D">
        <w:trPr>
          <w:trHeight w:val="340"/>
        </w:trPr>
        <w:tc>
          <w:tcPr>
            <w:tcW w:w="9062" w:type="dxa"/>
            <w:gridSpan w:val="2"/>
            <w:vAlign w:val="center"/>
          </w:tcPr>
          <w:p w14:paraId="317A27FE" w14:textId="4BB6D301" w:rsidR="000D459D" w:rsidRPr="000D459D" w:rsidRDefault="000D459D" w:rsidP="000D459D">
            <w:pPr>
              <w:rPr>
                <w:rFonts w:ascii="Times New Roman" w:hAnsi="Times New Roman" w:cs="Times New Roman"/>
              </w:rPr>
            </w:pPr>
            <w:r w:rsidRPr="000D459D">
              <w:rPr>
                <w:rFonts w:ascii="Times New Roman" w:hAnsi="Times New Roman" w:cs="Times New Roman"/>
              </w:rPr>
              <w:t>Software Windows 10 nebo ekvivalent</w:t>
            </w:r>
          </w:p>
        </w:tc>
      </w:tr>
    </w:tbl>
    <w:p w14:paraId="25BB43C8" w14:textId="77777777" w:rsidR="000D459D" w:rsidRDefault="000D459D" w:rsidP="002D113F">
      <w:pPr>
        <w:jc w:val="both"/>
        <w:rPr>
          <w:b/>
        </w:rPr>
      </w:pPr>
    </w:p>
    <w:p w14:paraId="692552CE" w14:textId="77777777" w:rsidR="002D113F" w:rsidRDefault="002D113F" w:rsidP="002D113F">
      <w:pPr>
        <w:jc w:val="both"/>
        <w:rPr>
          <w:b/>
        </w:rPr>
      </w:pPr>
      <w:r>
        <w:rPr>
          <w:b/>
        </w:rPr>
        <w:t>Další požadavky:</w:t>
      </w:r>
    </w:p>
    <w:p w14:paraId="57E68BF7" w14:textId="77777777" w:rsidR="002D113F" w:rsidRDefault="002D113F" w:rsidP="002D113F">
      <w:pPr>
        <w:jc w:val="both"/>
      </w:pPr>
    </w:p>
    <w:p w14:paraId="4294687C" w14:textId="77777777" w:rsidR="002D113F" w:rsidRPr="004C128E" w:rsidRDefault="002D113F" w:rsidP="002D113F">
      <w:pPr>
        <w:jc w:val="both"/>
      </w:pPr>
      <w:r w:rsidRPr="00554BCA">
        <w:t>Předmět dodávky, stejně jako veškerý materiál, díly a SW musí být nové a nepoužité.</w:t>
      </w:r>
    </w:p>
    <w:p w14:paraId="52792A26" w14:textId="77777777" w:rsidR="002D113F" w:rsidRPr="004C128E" w:rsidRDefault="002D113F" w:rsidP="002D113F">
      <w:pPr>
        <w:jc w:val="both"/>
      </w:pPr>
    </w:p>
    <w:p w14:paraId="0D52CA20" w14:textId="77777777" w:rsidR="002D113F" w:rsidRPr="004C128E" w:rsidRDefault="002D113F" w:rsidP="002D113F">
      <w:pPr>
        <w:jc w:val="both"/>
      </w:pPr>
      <w:r w:rsidRPr="00554BCA">
        <w:t>Instalace zařízení musí být provedena ve spolupráci s pracovníky zadavatele.</w:t>
      </w:r>
    </w:p>
    <w:p w14:paraId="3C20EAB1" w14:textId="77777777" w:rsidR="002D113F" w:rsidRPr="004C128E" w:rsidRDefault="002D113F" w:rsidP="002D113F">
      <w:pPr>
        <w:jc w:val="both"/>
      </w:pPr>
    </w:p>
    <w:p w14:paraId="55D86390" w14:textId="383664AE" w:rsidR="002D113F" w:rsidRPr="004C128E" w:rsidRDefault="002D113F" w:rsidP="002D113F">
      <w:pPr>
        <w:jc w:val="both"/>
      </w:pPr>
      <w:r w:rsidRPr="007B3E8D">
        <w:t xml:space="preserve">Záruční doba zařízení minimálně v trvání </w:t>
      </w:r>
      <w:r w:rsidR="007B3E8D" w:rsidRPr="007B3E8D">
        <w:t>12</w:t>
      </w:r>
      <w:r w:rsidRPr="007B3E8D">
        <w:t xml:space="preserve"> měsíců od předání do užívání zadavateli.</w:t>
      </w:r>
      <w:r>
        <w:t xml:space="preserve"> </w:t>
      </w:r>
    </w:p>
    <w:p w14:paraId="69706E4A" w14:textId="77777777" w:rsidR="002D113F" w:rsidRPr="004C128E" w:rsidRDefault="002D113F" w:rsidP="002D113F">
      <w:pPr>
        <w:jc w:val="both"/>
      </w:pPr>
    </w:p>
    <w:p w14:paraId="19440B11" w14:textId="77777777" w:rsidR="002D113F" w:rsidRPr="00563D17" w:rsidRDefault="002D113F" w:rsidP="002D113F">
      <w:pPr>
        <w:jc w:val="both"/>
      </w:pPr>
      <w:r w:rsidRPr="00563D17">
        <w:t xml:space="preserve">Požadujeme garanci servisního zásahu. Bližší požadavky na garanci servisního zásahu jsou uvedeny v bodě 11 zadávací dokumentace. </w:t>
      </w:r>
    </w:p>
    <w:p w14:paraId="62693A27" w14:textId="77777777" w:rsidR="002D113F" w:rsidRPr="00563D17" w:rsidRDefault="002D113F" w:rsidP="002D113F">
      <w:pPr>
        <w:jc w:val="both"/>
        <w:rPr>
          <w:highlight w:val="yellow"/>
        </w:rPr>
      </w:pPr>
    </w:p>
    <w:p w14:paraId="79E8E619" w14:textId="77777777" w:rsidR="002D113F" w:rsidRDefault="002D113F" w:rsidP="002D113F">
      <w:pPr>
        <w:jc w:val="both"/>
      </w:pPr>
      <w:r w:rsidRPr="00F136DE">
        <w:t>Garantované servisní služby minimálně po dobu 10 let od skončení záruční doby strojů.</w:t>
      </w:r>
    </w:p>
    <w:p w14:paraId="76D0378D" w14:textId="77777777" w:rsidR="002D113F" w:rsidRDefault="002D113F" w:rsidP="002D113F">
      <w:pPr>
        <w:jc w:val="both"/>
      </w:pPr>
    </w:p>
    <w:p w14:paraId="2CF020C6" w14:textId="77777777" w:rsidR="002D113F" w:rsidRDefault="002D113F" w:rsidP="002D113F">
      <w:pPr>
        <w:jc w:val="both"/>
      </w:pPr>
      <w:r w:rsidRPr="00F82B2B">
        <w:t>Zaškolení obsluhy v místě sídla zadavatele. Bližší požadavky na zaškolení jsou uvedeny v bodě 11 zadávací dokumentace.</w:t>
      </w:r>
    </w:p>
    <w:p w14:paraId="13260BD9" w14:textId="77777777" w:rsidR="002D113F" w:rsidRDefault="002D113F" w:rsidP="002D113F">
      <w:pPr>
        <w:jc w:val="both"/>
      </w:pPr>
    </w:p>
    <w:p w14:paraId="7A5CA76D" w14:textId="627C5968" w:rsidR="00822C3F" w:rsidRPr="00184F97" w:rsidRDefault="00822C3F" w:rsidP="00822C3F">
      <w:r w:rsidRPr="00BE095A">
        <w:lastRenderedPageBreak/>
        <w:t xml:space="preserve">Součástí dokumentace (viz. Příloha č. 4) </w:t>
      </w:r>
      <w:r w:rsidR="00BC10F2" w:rsidRPr="00BE095A">
        <w:t>je výkres, dle kterého</w:t>
      </w:r>
      <w:r w:rsidRPr="00BE095A">
        <w:t xml:space="preserve"> </w:t>
      </w:r>
      <w:r w:rsidR="00DC175D" w:rsidRPr="00BE095A">
        <w:t>účastník</w:t>
      </w:r>
      <w:r w:rsidRPr="00BE095A">
        <w:t xml:space="preserve"> zhotoví celkem </w:t>
      </w:r>
      <w:r w:rsidR="00BC10F2" w:rsidRPr="00BE095A">
        <w:t xml:space="preserve">20 </w:t>
      </w:r>
      <w:r w:rsidRPr="00BE095A">
        <w:t>předávacích kusů a to v místě sídla zadavatele. Materiál bude na požádání poskytnut.</w:t>
      </w:r>
    </w:p>
    <w:p w14:paraId="5FDB47C1" w14:textId="77777777" w:rsidR="00822C3F" w:rsidRPr="004C128E" w:rsidRDefault="00822C3F" w:rsidP="002D113F">
      <w:pPr>
        <w:jc w:val="both"/>
      </w:pPr>
    </w:p>
    <w:p w14:paraId="35A134FC" w14:textId="77777777" w:rsidR="002D113F" w:rsidRDefault="002D113F" w:rsidP="002D113F">
      <w:pPr>
        <w:jc w:val="both"/>
      </w:pPr>
      <w:r w:rsidRPr="004C128E">
        <w:t>Jsou-li v zadávací dokumentaci nebo jejích přílohách uvedeny konkrétní obchodní názvy, jedná se pouze o vymezení požadovaného standardu a zadavatel umožňuje i jiné technicky a kvalitativně srovnatelné řešení.</w:t>
      </w:r>
    </w:p>
    <w:p w14:paraId="047A8762" w14:textId="77777777" w:rsidR="002D113F" w:rsidRDefault="002D113F" w:rsidP="002D113F">
      <w:pPr>
        <w:jc w:val="both"/>
      </w:pPr>
    </w:p>
    <w:p w14:paraId="72192AD4" w14:textId="787A6D2E" w:rsidR="002D113F" w:rsidRDefault="007B3E8D" w:rsidP="002D113F">
      <w:pPr>
        <w:jc w:val="both"/>
      </w:pPr>
      <w:r w:rsidRPr="00BE095A">
        <w:t>Předpokládaná cena</w:t>
      </w:r>
      <w:r w:rsidR="002D113F" w:rsidRPr="00BE095A">
        <w:t xml:space="preserve">: </w:t>
      </w:r>
      <w:r w:rsidRPr="00BE095A">
        <w:t>6 5</w:t>
      </w:r>
      <w:r w:rsidR="002D113F" w:rsidRPr="00BE095A">
        <w:t>00 000,- Kč bez DPH</w:t>
      </w:r>
      <w:r w:rsidR="002D113F" w:rsidRPr="007A2E9C">
        <w:t xml:space="preserve"> </w:t>
      </w:r>
    </w:p>
    <w:p w14:paraId="25F2F8DE" w14:textId="3276C8C0" w:rsidR="009E6E2B" w:rsidRDefault="009E6E2B" w:rsidP="009E6E2B">
      <w:pPr>
        <w:jc w:val="both"/>
        <w:rPr>
          <w:rFonts w:ascii="Arial" w:hAnsi="Arial" w:cs="Arial"/>
        </w:rPr>
      </w:pPr>
    </w:p>
    <w:p w14:paraId="64E3D885" w14:textId="77777777" w:rsidR="003E6DE1" w:rsidRPr="001049F5" w:rsidRDefault="003E6DE1" w:rsidP="003E6DE1">
      <w:pPr>
        <w:pStyle w:val="Nadpis1"/>
        <w:jc w:val="both"/>
      </w:pPr>
      <w:r>
        <w:t xml:space="preserve">3. </w:t>
      </w:r>
      <w:r w:rsidRPr="001049F5">
        <w:t>Místo plnění zakázky</w:t>
      </w:r>
    </w:p>
    <w:p w14:paraId="13F662A0" w14:textId="77777777" w:rsidR="003E6DE1" w:rsidRDefault="003E6DE1" w:rsidP="003E6DE1">
      <w:pPr>
        <w:jc w:val="both"/>
        <w:rPr>
          <w:bCs/>
        </w:rPr>
      </w:pPr>
      <w:r w:rsidRPr="00D035A3">
        <w:rPr>
          <w:bCs/>
        </w:rPr>
        <w:t>Sídlo zadavatele:</w:t>
      </w:r>
      <w:r>
        <w:rPr>
          <w:bCs/>
        </w:rPr>
        <w:t xml:space="preserve"> </w:t>
      </w:r>
      <w:r w:rsidRPr="00D035A3">
        <w:rPr>
          <w:bCs/>
        </w:rPr>
        <w:t xml:space="preserve">Meopta – optika, s.r.o., </w:t>
      </w:r>
      <w:proofErr w:type="spellStart"/>
      <w:r w:rsidRPr="00D035A3">
        <w:rPr>
          <w:bCs/>
        </w:rPr>
        <w:t>Kabelíkova</w:t>
      </w:r>
      <w:proofErr w:type="spellEnd"/>
      <w:r w:rsidRPr="00D035A3">
        <w:rPr>
          <w:bCs/>
        </w:rPr>
        <w:t xml:space="preserve"> 2682/1, 750 02 Přerov</w:t>
      </w:r>
    </w:p>
    <w:p w14:paraId="6E3254B6" w14:textId="77777777" w:rsidR="003E6DE1" w:rsidRDefault="003E6DE1" w:rsidP="003E6DE1">
      <w:pPr>
        <w:jc w:val="both"/>
        <w:rPr>
          <w:bCs/>
        </w:rPr>
      </w:pPr>
    </w:p>
    <w:p w14:paraId="1BE8B9FD" w14:textId="77777777" w:rsidR="003E6DE1" w:rsidRPr="001049F5" w:rsidRDefault="003E6DE1" w:rsidP="003E6DE1">
      <w:pPr>
        <w:pStyle w:val="Nadpis1"/>
        <w:jc w:val="both"/>
      </w:pPr>
      <w:r>
        <w:t>4. Doba plnění zakázky</w:t>
      </w:r>
    </w:p>
    <w:p w14:paraId="78A95CE3" w14:textId="1ACC33E4" w:rsidR="00D1227C" w:rsidRDefault="00130667" w:rsidP="00337172">
      <w:pPr>
        <w:jc w:val="both"/>
      </w:pPr>
      <w:r w:rsidRPr="00BE095A">
        <w:t>Předpokládaný termín dodání plnění:</w:t>
      </w:r>
      <w:r w:rsidR="00F2122F" w:rsidRPr="00BE095A">
        <w:t xml:space="preserve"> </w:t>
      </w:r>
      <w:r w:rsidR="00F136DE" w:rsidRPr="00BE095A">
        <w:t>5 měsíců od podpisu smlouvy</w:t>
      </w:r>
      <w:r w:rsidR="00F2122F" w:rsidRPr="00BE095A">
        <w:t xml:space="preserve">. Odběratel určí přesný termín dodání s ohledem na připravenost k instalaci předmětu smlouvy v místě plnění minimálně se </w:t>
      </w:r>
      <w:proofErr w:type="gramStart"/>
      <w:r w:rsidR="00F2122F" w:rsidRPr="00BE095A">
        <w:t>14-ti</w:t>
      </w:r>
      <w:proofErr w:type="gramEnd"/>
      <w:r w:rsidR="00F2122F" w:rsidRPr="00BE095A">
        <w:t xml:space="preserve"> denním předstihem.</w:t>
      </w:r>
    </w:p>
    <w:p w14:paraId="5DBB58D5" w14:textId="77777777" w:rsidR="003E6DE1" w:rsidRPr="00337172" w:rsidRDefault="003E6DE1" w:rsidP="003E6DE1">
      <w:pPr>
        <w:pStyle w:val="Nadpis1"/>
        <w:jc w:val="both"/>
      </w:pPr>
      <w:r>
        <w:t xml:space="preserve">5. </w:t>
      </w:r>
      <w:r w:rsidR="00E579BD" w:rsidRPr="007E0EFD">
        <w:t>Požadavky na prokázání kvalifikace</w:t>
      </w:r>
    </w:p>
    <w:p w14:paraId="774BCB3A" w14:textId="77777777" w:rsidR="00E579BD" w:rsidRDefault="00E579BD" w:rsidP="00E579BD">
      <w:pPr>
        <w:jc w:val="both"/>
      </w:pPr>
      <w:proofErr w:type="gramStart"/>
      <w:r>
        <w:t>A)</w:t>
      </w:r>
      <w:r>
        <w:rPr>
          <w:b/>
        </w:rPr>
        <w:t xml:space="preserve"> </w:t>
      </w:r>
      <w:r w:rsidRPr="00183A6D">
        <w:rPr>
          <w:b/>
        </w:rPr>
        <w:t>Základní</w:t>
      </w:r>
      <w:proofErr w:type="gramEnd"/>
      <w:r w:rsidRPr="00183A6D">
        <w:rPr>
          <w:b/>
        </w:rPr>
        <w:t xml:space="preserve"> způsobilost </w:t>
      </w:r>
      <w:r>
        <w:t xml:space="preserve">splní účastník, </w:t>
      </w:r>
      <w:proofErr w:type="gramStart"/>
      <w:r>
        <w:t>který:</w:t>
      </w:r>
      <w:proofErr w:type="gramEnd"/>
    </w:p>
    <w:p w14:paraId="31C066D5" w14:textId="77777777" w:rsidR="00E579BD" w:rsidRDefault="00E579BD" w:rsidP="00E579BD">
      <w:pPr>
        <w:jc w:val="both"/>
      </w:pPr>
    </w:p>
    <w:p w14:paraId="3D35CF79"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nebyl v zemi svého sídla v posledních 5 letech před zahájením zadávacího řízení pravomocně odsouzen pro:</w:t>
      </w:r>
    </w:p>
    <w:p w14:paraId="5465237B" w14:textId="77777777" w:rsidR="00E579BD" w:rsidRPr="00397AD3" w:rsidRDefault="00E579BD" w:rsidP="00396B07">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 xml:space="preserve">trestný čin spáchaný ve prospěch organizované zločinecké skupiny nebo trestný čin účasti na </w:t>
      </w:r>
      <w:r>
        <w:rPr>
          <w:color w:val="000000"/>
          <w:sz w:val="24"/>
          <w:szCs w:val="24"/>
          <w:highlight w:val="white"/>
        </w:rPr>
        <w:t>organizované zločinecké skupině,</w:t>
      </w:r>
    </w:p>
    <w:p w14:paraId="470F0D4F" w14:textId="77777777" w:rsidR="00E579BD" w:rsidRPr="00397AD3" w:rsidRDefault="00E579BD" w:rsidP="00396B07">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trestný čin obchodování s</w:t>
      </w:r>
      <w:r>
        <w:rPr>
          <w:color w:val="000000"/>
          <w:sz w:val="24"/>
          <w:szCs w:val="24"/>
          <w:highlight w:val="white"/>
        </w:rPr>
        <w:t> </w:t>
      </w:r>
      <w:r w:rsidRPr="00397AD3">
        <w:rPr>
          <w:color w:val="000000"/>
          <w:sz w:val="24"/>
          <w:szCs w:val="24"/>
          <w:highlight w:val="white"/>
        </w:rPr>
        <w:t>lidmi</w:t>
      </w:r>
      <w:r>
        <w:rPr>
          <w:color w:val="000000"/>
          <w:sz w:val="24"/>
          <w:szCs w:val="24"/>
          <w:highlight w:val="white"/>
        </w:rPr>
        <w:t>,</w:t>
      </w:r>
    </w:p>
    <w:p w14:paraId="277E718F" w14:textId="77777777" w:rsidR="00E579BD" w:rsidRPr="00397AD3" w:rsidRDefault="00E579BD" w:rsidP="00396B07">
      <w:pPr>
        <w:pStyle w:val="Odstavecseseznamem"/>
        <w:widowControl w:val="0"/>
        <w:numPr>
          <w:ilvl w:val="0"/>
          <w:numId w:val="6"/>
        </w:numPr>
        <w:autoSpaceDE w:val="0"/>
        <w:autoSpaceDN w:val="0"/>
        <w:adjustRightInd w:val="0"/>
        <w:ind w:left="993" w:hanging="426"/>
        <w:rPr>
          <w:color w:val="000000"/>
          <w:sz w:val="24"/>
          <w:szCs w:val="24"/>
          <w:highlight w:val="white"/>
        </w:rPr>
      </w:pPr>
      <w:r w:rsidRPr="00397AD3">
        <w:rPr>
          <w:color w:val="000000"/>
          <w:sz w:val="24"/>
          <w:szCs w:val="24"/>
          <w:highlight w:val="white"/>
        </w:rPr>
        <w:t>tyto trestné činy proti majetku</w:t>
      </w:r>
    </w:p>
    <w:p w14:paraId="38D736F8"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1. </w:t>
      </w:r>
      <w:r>
        <w:rPr>
          <w:color w:val="000000"/>
          <w:sz w:val="24"/>
          <w:szCs w:val="24"/>
          <w:highlight w:val="white"/>
        </w:rPr>
        <w:tab/>
      </w:r>
      <w:r w:rsidRPr="00397AD3">
        <w:rPr>
          <w:color w:val="000000"/>
          <w:sz w:val="24"/>
          <w:szCs w:val="24"/>
          <w:highlight w:val="white"/>
        </w:rPr>
        <w:t>podvod,</w:t>
      </w:r>
    </w:p>
    <w:p w14:paraId="33648E87"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2. </w:t>
      </w:r>
      <w:r>
        <w:rPr>
          <w:color w:val="000000"/>
          <w:sz w:val="24"/>
          <w:szCs w:val="24"/>
          <w:highlight w:val="white"/>
        </w:rPr>
        <w:tab/>
      </w:r>
      <w:r w:rsidRPr="00397AD3">
        <w:rPr>
          <w:color w:val="000000"/>
          <w:sz w:val="24"/>
          <w:szCs w:val="24"/>
          <w:highlight w:val="white"/>
        </w:rPr>
        <w:t>úvěrový podvod,</w:t>
      </w:r>
    </w:p>
    <w:p w14:paraId="33BCA0FE"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3. </w:t>
      </w:r>
      <w:r>
        <w:rPr>
          <w:color w:val="000000"/>
          <w:sz w:val="24"/>
          <w:szCs w:val="24"/>
          <w:highlight w:val="white"/>
        </w:rPr>
        <w:tab/>
      </w:r>
      <w:r w:rsidRPr="00397AD3">
        <w:rPr>
          <w:color w:val="000000"/>
          <w:sz w:val="24"/>
          <w:szCs w:val="24"/>
          <w:highlight w:val="white"/>
        </w:rPr>
        <w:t>dotační podvod,</w:t>
      </w:r>
    </w:p>
    <w:p w14:paraId="667902D8"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4. </w:t>
      </w:r>
      <w:r>
        <w:rPr>
          <w:color w:val="000000"/>
          <w:sz w:val="24"/>
          <w:szCs w:val="24"/>
          <w:highlight w:val="white"/>
        </w:rPr>
        <w:tab/>
      </w:r>
      <w:r w:rsidRPr="00397AD3">
        <w:rPr>
          <w:color w:val="000000"/>
          <w:sz w:val="24"/>
          <w:szCs w:val="24"/>
          <w:highlight w:val="white"/>
        </w:rPr>
        <w:t>podílnictví,</w:t>
      </w:r>
    </w:p>
    <w:p w14:paraId="4B6EF8C0"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5.</w:t>
      </w:r>
      <w:r>
        <w:rPr>
          <w:color w:val="000000"/>
          <w:sz w:val="24"/>
          <w:szCs w:val="24"/>
          <w:highlight w:val="white"/>
        </w:rPr>
        <w:tab/>
      </w:r>
      <w:r w:rsidRPr="00397AD3">
        <w:rPr>
          <w:color w:val="000000"/>
          <w:sz w:val="24"/>
          <w:szCs w:val="24"/>
          <w:highlight w:val="white"/>
        </w:rPr>
        <w:t>podílnictví z nedbalosti,</w:t>
      </w:r>
    </w:p>
    <w:p w14:paraId="7B49C73F"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6. </w:t>
      </w:r>
      <w:r>
        <w:rPr>
          <w:color w:val="000000"/>
          <w:sz w:val="24"/>
          <w:szCs w:val="24"/>
          <w:highlight w:val="white"/>
        </w:rPr>
        <w:tab/>
      </w:r>
      <w:r w:rsidRPr="00397AD3">
        <w:rPr>
          <w:color w:val="000000"/>
          <w:sz w:val="24"/>
          <w:szCs w:val="24"/>
          <w:highlight w:val="white"/>
        </w:rPr>
        <w:t>legalizace výnosů z trestné činnosti,</w:t>
      </w:r>
    </w:p>
    <w:p w14:paraId="586DB27F" w14:textId="77777777" w:rsidR="00E579BD" w:rsidRPr="00397AD3" w:rsidRDefault="00E579BD" w:rsidP="00E579BD">
      <w:pPr>
        <w:pStyle w:val="Odstavecseseznamem"/>
        <w:spacing w:after="120"/>
        <w:ind w:left="1276" w:hanging="283"/>
        <w:jc w:val="both"/>
        <w:rPr>
          <w:color w:val="000000"/>
          <w:sz w:val="24"/>
          <w:szCs w:val="24"/>
          <w:highlight w:val="white"/>
        </w:rPr>
      </w:pPr>
      <w:r w:rsidRPr="00397AD3">
        <w:rPr>
          <w:color w:val="000000"/>
          <w:sz w:val="24"/>
          <w:szCs w:val="24"/>
          <w:highlight w:val="white"/>
        </w:rPr>
        <w:t xml:space="preserve">7. </w:t>
      </w:r>
      <w:r>
        <w:rPr>
          <w:color w:val="000000"/>
          <w:sz w:val="24"/>
          <w:szCs w:val="24"/>
          <w:highlight w:val="white"/>
        </w:rPr>
        <w:tab/>
      </w:r>
      <w:r w:rsidRPr="00397AD3">
        <w:rPr>
          <w:color w:val="000000"/>
          <w:sz w:val="24"/>
          <w:szCs w:val="24"/>
          <w:highlight w:val="white"/>
        </w:rPr>
        <w:t>legalizace výnosů z trestné činnosti z nedbalosti,</w:t>
      </w:r>
    </w:p>
    <w:p w14:paraId="0365A0A9" w14:textId="77777777" w:rsidR="00E579BD" w:rsidRPr="00397AD3" w:rsidRDefault="00E579BD" w:rsidP="00396B07">
      <w:pPr>
        <w:pStyle w:val="Odstavecseseznamem"/>
        <w:numPr>
          <w:ilvl w:val="0"/>
          <w:numId w:val="6"/>
        </w:numPr>
        <w:ind w:left="993" w:hanging="426"/>
        <w:jc w:val="both"/>
        <w:rPr>
          <w:color w:val="000000"/>
          <w:sz w:val="24"/>
          <w:szCs w:val="24"/>
          <w:highlight w:val="white"/>
        </w:rPr>
      </w:pPr>
      <w:r w:rsidRPr="00397AD3">
        <w:rPr>
          <w:color w:val="000000"/>
          <w:sz w:val="24"/>
          <w:szCs w:val="24"/>
          <w:highlight w:val="white"/>
        </w:rPr>
        <w:t>tyto trestné činy hospodářské</w:t>
      </w:r>
    </w:p>
    <w:p w14:paraId="6CD123CC"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1. </w:t>
      </w:r>
      <w:r>
        <w:rPr>
          <w:color w:val="000000"/>
          <w:sz w:val="24"/>
          <w:szCs w:val="24"/>
          <w:highlight w:val="white"/>
        </w:rPr>
        <w:tab/>
      </w:r>
      <w:r w:rsidRPr="00397AD3">
        <w:rPr>
          <w:color w:val="000000"/>
          <w:sz w:val="24"/>
          <w:szCs w:val="24"/>
          <w:highlight w:val="white"/>
        </w:rPr>
        <w:t>zneužití informace a postavení v obchodním styku,</w:t>
      </w:r>
    </w:p>
    <w:p w14:paraId="2E572FFD"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2. </w:t>
      </w:r>
      <w:r>
        <w:rPr>
          <w:color w:val="000000"/>
          <w:sz w:val="24"/>
          <w:szCs w:val="24"/>
          <w:highlight w:val="white"/>
        </w:rPr>
        <w:tab/>
      </w:r>
      <w:r w:rsidRPr="00397AD3">
        <w:rPr>
          <w:color w:val="000000"/>
          <w:sz w:val="24"/>
          <w:szCs w:val="24"/>
          <w:highlight w:val="white"/>
        </w:rPr>
        <w:t>sjednání výhody při zadání veřejné zakázky, při veřejné soutěži a veřejné dražbě,</w:t>
      </w:r>
    </w:p>
    <w:p w14:paraId="61D8BF85"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3. </w:t>
      </w:r>
      <w:r>
        <w:rPr>
          <w:color w:val="000000"/>
          <w:sz w:val="24"/>
          <w:szCs w:val="24"/>
          <w:highlight w:val="white"/>
        </w:rPr>
        <w:tab/>
      </w:r>
      <w:r w:rsidRPr="00397AD3">
        <w:rPr>
          <w:color w:val="000000"/>
          <w:sz w:val="24"/>
          <w:szCs w:val="24"/>
          <w:highlight w:val="white"/>
        </w:rPr>
        <w:t>pletichy při zadání veřejné zakázky a při veřejné soutěži,</w:t>
      </w:r>
    </w:p>
    <w:p w14:paraId="53383D83"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4. </w:t>
      </w:r>
      <w:r>
        <w:rPr>
          <w:color w:val="000000"/>
          <w:sz w:val="24"/>
          <w:szCs w:val="24"/>
          <w:highlight w:val="white"/>
        </w:rPr>
        <w:tab/>
      </w:r>
      <w:r w:rsidRPr="00397AD3">
        <w:rPr>
          <w:color w:val="000000"/>
          <w:sz w:val="24"/>
          <w:szCs w:val="24"/>
          <w:highlight w:val="white"/>
        </w:rPr>
        <w:t>pletichy při veřejné dražbě,</w:t>
      </w:r>
    </w:p>
    <w:p w14:paraId="2F9CAF85" w14:textId="77777777" w:rsidR="00E579BD" w:rsidRPr="00397AD3" w:rsidRDefault="00E579BD" w:rsidP="00E579BD">
      <w:pPr>
        <w:pStyle w:val="Odstavecseseznamem"/>
        <w:spacing w:after="120"/>
        <w:ind w:left="1276" w:hanging="283"/>
        <w:jc w:val="both"/>
        <w:rPr>
          <w:color w:val="000000"/>
          <w:sz w:val="24"/>
          <w:szCs w:val="24"/>
          <w:highlight w:val="white"/>
        </w:rPr>
      </w:pPr>
      <w:r w:rsidRPr="00397AD3">
        <w:rPr>
          <w:color w:val="000000"/>
          <w:sz w:val="24"/>
          <w:szCs w:val="24"/>
          <w:highlight w:val="white"/>
        </w:rPr>
        <w:t xml:space="preserve">5. </w:t>
      </w:r>
      <w:r>
        <w:rPr>
          <w:color w:val="000000"/>
          <w:sz w:val="24"/>
          <w:szCs w:val="24"/>
          <w:highlight w:val="white"/>
        </w:rPr>
        <w:tab/>
      </w:r>
      <w:r w:rsidRPr="00397AD3">
        <w:rPr>
          <w:color w:val="000000"/>
          <w:sz w:val="24"/>
          <w:szCs w:val="24"/>
          <w:highlight w:val="white"/>
        </w:rPr>
        <w:t>poškození finančních zájmů Evropské unie,</w:t>
      </w:r>
    </w:p>
    <w:p w14:paraId="29064E7F" w14:textId="77777777" w:rsidR="00E579BD" w:rsidRPr="00397AD3" w:rsidRDefault="00E579BD" w:rsidP="00396B07">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lastRenderedPageBreak/>
        <w:t>trestné činy obecně nebezpečné,</w:t>
      </w:r>
    </w:p>
    <w:p w14:paraId="71FE150E" w14:textId="77777777" w:rsidR="00E579BD" w:rsidRPr="00397AD3" w:rsidRDefault="00E579BD" w:rsidP="00396B07">
      <w:pPr>
        <w:pStyle w:val="Odstavecseseznamem"/>
        <w:numPr>
          <w:ilvl w:val="0"/>
          <w:numId w:val="6"/>
        </w:numPr>
        <w:spacing w:after="120"/>
        <w:ind w:left="993" w:hanging="426"/>
        <w:jc w:val="both"/>
        <w:rPr>
          <w:color w:val="000000"/>
          <w:sz w:val="24"/>
          <w:szCs w:val="24"/>
          <w:highlight w:val="white"/>
        </w:rPr>
      </w:pPr>
      <w:r w:rsidRPr="00397AD3">
        <w:rPr>
          <w:color w:val="000000"/>
          <w:sz w:val="24"/>
          <w:szCs w:val="24"/>
          <w:highlight w:val="white"/>
        </w:rPr>
        <w:t>trestné činy proti České republice, cizímu státu a mezinárodní organizaci,</w:t>
      </w:r>
    </w:p>
    <w:p w14:paraId="3B7ABFC2" w14:textId="77777777" w:rsidR="00E579BD" w:rsidRPr="00397AD3" w:rsidRDefault="00E579BD" w:rsidP="00396B07">
      <w:pPr>
        <w:pStyle w:val="Odstavecseseznamem"/>
        <w:numPr>
          <w:ilvl w:val="0"/>
          <w:numId w:val="6"/>
        </w:numPr>
        <w:ind w:left="993" w:hanging="426"/>
        <w:jc w:val="both"/>
        <w:rPr>
          <w:color w:val="000000"/>
          <w:sz w:val="24"/>
          <w:szCs w:val="24"/>
          <w:highlight w:val="white"/>
        </w:rPr>
      </w:pPr>
      <w:r w:rsidRPr="00397AD3">
        <w:rPr>
          <w:color w:val="000000"/>
          <w:sz w:val="24"/>
          <w:szCs w:val="24"/>
          <w:highlight w:val="white"/>
        </w:rPr>
        <w:t>tyto trestné činy proti pořádku ve věcech veřejných</w:t>
      </w:r>
    </w:p>
    <w:p w14:paraId="6F1B511C"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1. </w:t>
      </w:r>
      <w:r>
        <w:rPr>
          <w:color w:val="000000"/>
          <w:sz w:val="24"/>
          <w:szCs w:val="24"/>
          <w:highlight w:val="white"/>
        </w:rPr>
        <w:tab/>
      </w:r>
      <w:r w:rsidRPr="00397AD3">
        <w:rPr>
          <w:color w:val="000000"/>
          <w:sz w:val="24"/>
          <w:szCs w:val="24"/>
          <w:highlight w:val="white"/>
        </w:rPr>
        <w:t>trestné činy proti výkonu pravomoci orgánu veřejné moci a úřední osoby,</w:t>
      </w:r>
    </w:p>
    <w:p w14:paraId="0603A4FF"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2. </w:t>
      </w:r>
      <w:r>
        <w:rPr>
          <w:color w:val="000000"/>
          <w:sz w:val="24"/>
          <w:szCs w:val="24"/>
          <w:highlight w:val="white"/>
        </w:rPr>
        <w:tab/>
      </w:r>
      <w:r w:rsidRPr="00397AD3">
        <w:rPr>
          <w:color w:val="000000"/>
          <w:sz w:val="24"/>
          <w:szCs w:val="24"/>
          <w:highlight w:val="white"/>
        </w:rPr>
        <w:t>trestné činy úředních osob,</w:t>
      </w:r>
    </w:p>
    <w:p w14:paraId="54DD8DFF" w14:textId="77777777" w:rsidR="00E579BD" w:rsidRPr="00397AD3" w:rsidRDefault="00E579BD" w:rsidP="00E579BD">
      <w:pPr>
        <w:pStyle w:val="Odstavecseseznamem"/>
        <w:widowControl w:val="0"/>
        <w:autoSpaceDE w:val="0"/>
        <w:autoSpaceDN w:val="0"/>
        <w:adjustRightInd w:val="0"/>
        <w:ind w:left="1276" w:hanging="283"/>
        <w:rPr>
          <w:color w:val="000000"/>
          <w:sz w:val="24"/>
          <w:szCs w:val="24"/>
          <w:highlight w:val="white"/>
        </w:rPr>
      </w:pPr>
      <w:r w:rsidRPr="00397AD3">
        <w:rPr>
          <w:color w:val="000000"/>
          <w:sz w:val="24"/>
          <w:szCs w:val="24"/>
          <w:highlight w:val="white"/>
        </w:rPr>
        <w:t xml:space="preserve">3. </w:t>
      </w:r>
      <w:r>
        <w:rPr>
          <w:color w:val="000000"/>
          <w:sz w:val="24"/>
          <w:szCs w:val="24"/>
          <w:highlight w:val="white"/>
        </w:rPr>
        <w:tab/>
      </w:r>
      <w:r w:rsidRPr="00397AD3">
        <w:rPr>
          <w:color w:val="000000"/>
          <w:sz w:val="24"/>
          <w:szCs w:val="24"/>
          <w:highlight w:val="white"/>
        </w:rPr>
        <w:t>úplatkářství,</w:t>
      </w:r>
    </w:p>
    <w:p w14:paraId="529D54CA" w14:textId="77777777" w:rsidR="00E579BD" w:rsidRPr="00397AD3" w:rsidRDefault="00E579BD" w:rsidP="00E579BD">
      <w:pPr>
        <w:pStyle w:val="Odstavecseseznamem"/>
        <w:spacing w:after="120"/>
        <w:ind w:left="1276" w:hanging="283"/>
        <w:jc w:val="both"/>
        <w:rPr>
          <w:color w:val="000000"/>
          <w:sz w:val="24"/>
          <w:szCs w:val="24"/>
          <w:highlight w:val="white"/>
        </w:rPr>
      </w:pPr>
      <w:r w:rsidRPr="00397AD3">
        <w:rPr>
          <w:color w:val="000000"/>
          <w:sz w:val="24"/>
          <w:szCs w:val="24"/>
          <w:highlight w:val="white"/>
        </w:rPr>
        <w:t xml:space="preserve">4. </w:t>
      </w:r>
      <w:r>
        <w:rPr>
          <w:color w:val="000000"/>
          <w:sz w:val="24"/>
          <w:szCs w:val="24"/>
          <w:highlight w:val="white"/>
        </w:rPr>
        <w:tab/>
      </w:r>
      <w:r w:rsidRPr="00397AD3">
        <w:rPr>
          <w:color w:val="000000"/>
          <w:sz w:val="24"/>
          <w:szCs w:val="24"/>
          <w:highlight w:val="white"/>
        </w:rPr>
        <w:t>jiná rušení činnosti orgánu veřejné moci</w:t>
      </w:r>
      <w:r>
        <w:rPr>
          <w:color w:val="000000"/>
          <w:sz w:val="24"/>
          <w:szCs w:val="24"/>
          <w:highlight w:val="white"/>
        </w:rPr>
        <w:t>,</w:t>
      </w:r>
    </w:p>
    <w:p w14:paraId="78CAAB76" w14:textId="77777777" w:rsidR="00E579BD" w:rsidRPr="00397AD3" w:rsidRDefault="00E579BD" w:rsidP="00E579BD">
      <w:pPr>
        <w:spacing w:after="120"/>
        <w:ind w:left="567"/>
        <w:jc w:val="both"/>
        <w:rPr>
          <w:color w:val="000000"/>
          <w:highlight w:val="white"/>
          <w:lang w:eastAsia="ar-SA"/>
        </w:rPr>
      </w:pPr>
      <w:r w:rsidRPr="00397AD3">
        <w:rPr>
          <w:color w:val="000000"/>
          <w:highlight w:val="white"/>
          <w:lang w:eastAsia="ar-SA"/>
        </w:rPr>
        <w:t>nebo obdobný trestný čin podle právního řádu země svého sídla; k zahlazeným odsouzením se nepřihlíží,</w:t>
      </w:r>
    </w:p>
    <w:p w14:paraId="1220C528"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nemá v České republice nebo v zemi svého sídla v evidenci daní zachycen splatný daňový nedoplatek</w:t>
      </w:r>
      <w:r w:rsidRPr="00397AD3">
        <w:rPr>
          <w:color w:val="000000"/>
          <w:sz w:val="24"/>
          <w:szCs w:val="24"/>
        </w:rPr>
        <w:t>,</w:t>
      </w:r>
    </w:p>
    <w:p w14:paraId="0E38499B"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nemá v České republice nebo v zemi svého sídla splatný nedoplatek na pojistném nebo na penále na veřejné zdravotní pojištění</w:t>
      </w:r>
      <w:r w:rsidRPr="00397AD3">
        <w:rPr>
          <w:color w:val="000000"/>
          <w:sz w:val="24"/>
          <w:szCs w:val="24"/>
        </w:rPr>
        <w:t>,</w:t>
      </w:r>
    </w:p>
    <w:p w14:paraId="206C6A05"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nemá v České republice nebo v zemi svého sídla splatný nedoplatek na pojistném nebo na penále na sociální zabezpečení a příspěvku na státní politiku zaměstnanosti</w:t>
      </w:r>
      <w:r w:rsidRPr="00397AD3">
        <w:rPr>
          <w:color w:val="000000"/>
          <w:sz w:val="24"/>
          <w:szCs w:val="24"/>
        </w:rPr>
        <w:t>,</w:t>
      </w:r>
    </w:p>
    <w:p w14:paraId="7A2C09D2"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není v likvidaci, nebylo proti němu vydáno rozhodnutí o úpadku, nebyla vůči němu nařízena nucená správa podle jiného právního předpisu nebo není v obdobné situaci podle právního řádu země sídla dodavatele</w:t>
      </w:r>
      <w:r>
        <w:rPr>
          <w:color w:val="000000"/>
          <w:sz w:val="24"/>
          <w:szCs w:val="24"/>
        </w:rPr>
        <w:t>,</w:t>
      </w:r>
    </w:p>
    <w:p w14:paraId="0681AC7D"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 xml:space="preserve">Je-li </w:t>
      </w:r>
      <w:r>
        <w:rPr>
          <w:color w:val="000000"/>
          <w:sz w:val="24"/>
          <w:szCs w:val="24"/>
          <w:highlight w:val="white"/>
        </w:rPr>
        <w:t>účastníkem</w:t>
      </w:r>
      <w:r w:rsidRPr="00397AD3">
        <w:rPr>
          <w:color w:val="000000"/>
          <w:sz w:val="24"/>
          <w:szCs w:val="24"/>
          <w:highlight w:val="white"/>
        </w:rPr>
        <w:t xml:space="preserve"> právnická osoba, podmínku podle odstavce 1.1 splňuje tato právnická osoba a zároveň každý člen statutárního orgánu. Je-li členem statutárního orgánu </w:t>
      </w:r>
      <w:r>
        <w:rPr>
          <w:color w:val="000000"/>
          <w:sz w:val="24"/>
          <w:szCs w:val="24"/>
          <w:highlight w:val="white"/>
        </w:rPr>
        <w:t>účastníka</w:t>
      </w:r>
      <w:r w:rsidRPr="00397AD3">
        <w:rPr>
          <w:color w:val="000000"/>
          <w:sz w:val="24"/>
          <w:szCs w:val="24"/>
          <w:highlight w:val="white"/>
        </w:rPr>
        <w:t xml:space="preserve"> právnická osoba, podmínku podle odstavce 1.1 splňuje</w:t>
      </w:r>
    </w:p>
    <w:p w14:paraId="37C2D9CE" w14:textId="77777777" w:rsidR="00E579BD" w:rsidRPr="00397AD3" w:rsidRDefault="00E579BD" w:rsidP="00396B07">
      <w:pPr>
        <w:pStyle w:val="Odstavecseseznamem"/>
        <w:numPr>
          <w:ilvl w:val="0"/>
          <w:numId w:val="4"/>
        </w:numPr>
        <w:spacing w:after="120"/>
        <w:ind w:left="993" w:hanging="426"/>
        <w:jc w:val="both"/>
        <w:rPr>
          <w:sz w:val="24"/>
          <w:szCs w:val="24"/>
        </w:rPr>
      </w:pPr>
      <w:r w:rsidRPr="00397AD3">
        <w:rPr>
          <w:color w:val="000000"/>
          <w:sz w:val="24"/>
          <w:szCs w:val="24"/>
        </w:rPr>
        <w:t>tato právnická osoba,</w:t>
      </w:r>
    </w:p>
    <w:p w14:paraId="492A759F" w14:textId="77777777" w:rsidR="00E579BD" w:rsidRPr="00397AD3" w:rsidRDefault="00E579BD" w:rsidP="00396B07">
      <w:pPr>
        <w:pStyle w:val="Odstavecseseznamem"/>
        <w:numPr>
          <w:ilvl w:val="0"/>
          <w:numId w:val="4"/>
        </w:numPr>
        <w:spacing w:after="120"/>
        <w:ind w:left="993" w:hanging="426"/>
        <w:jc w:val="both"/>
        <w:rPr>
          <w:sz w:val="24"/>
          <w:szCs w:val="24"/>
        </w:rPr>
      </w:pPr>
      <w:r w:rsidRPr="00397AD3">
        <w:rPr>
          <w:color w:val="000000"/>
          <w:sz w:val="24"/>
          <w:szCs w:val="24"/>
        </w:rPr>
        <w:t>každý člen statutárního orgánu této právnické osoby a</w:t>
      </w:r>
    </w:p>
    <w:p w14:paraId="7CEF4108" w14:textId="77777777" w:rsidR="00E579BD" w:rsidRPr="00397AD3" w:rsidRDefault="00E579BD" w:rsidP="00396B07">
      <w:pPr>
        <w:pStyle w:val="Odstavecseseznamem"/>
        <w:numPr>
          <w:ilvl w:val="0"/>
          <w:numId w:val="4"/>
        </w:numPr>
        <w:spacing w:after="120"/>
        <w:ind w:left="993" w:hanging="426"/>
        <w:jc w:val="both"/>
        <w:rPr>
          <w:sz w:val="24"/>
          <w:szCs w:val="24"/>
        </w:rPr>
      </w:pPr>
      <w:r w:rsidRPr="00397AD3">
        <w:rPr>
          <w:color w:val="000000"/>
          <w:sz w:val="24"/>
          <w:szCs w:val="24"/>
        </w:rPr>
        <w:t xml:space="preserve">osoba zastupující tuto právnickou osobu v statutárním orgánu </w:t>
      </w:r>
      <w:r>
        <w:rPr>
          <w:color w:val="000000"/>
          <w:sz w:val="24"/>
          <w:szCs w:val="24"/>
        </w:rPr>
        <w:t>účastníka,</w:t>
      </w:r>
    </w:p>
    <w:p w14:paraId="019EBBCF" w14:textId="77777777" w:rsidR="00E579BD" w:rsidRPr="00397AD3" w:rsidRDefault="00E579BD" w:rsidP="00396B07">
      <w:pPr>
        <w:pStyle w:val="Odstavecseseznamem"/>
        <w:numPr>
          <w:ilvl w:val="0"/>
          <w:numId w:val="3"/>
        </w:numPr>
        <w:spacing w:after="120"/>
        <w:ind w:left="567" w:hanging="567"/>
        <w:jc w:val="both"/>
        <w:rPr>
          <w:sz w:val="24"/>
          <w:szCs w:val="24"/>
        </w:rPr>
      </w:pPr>
      <w:r w:rsidRPr="00397AD3">
        <w:rPr>
          <w:color w:val="000000"/>
          <w:sz w:val="24"/>
          <w:szCs w:val="24"/>
          <w:highlight w:val="white"/>
        </w:rPr>
        <w:t xml:space="preserve">Je-li </w:t>
      </w:r>
      <w:r>
        <w:rPr>
          <w:color w:val="000000"/>
          <w:sz w:val="24"/>
          <w:szCs w:val="24"/>
          <w:highlight w:val="white"/>
        </w:rPr>
        <w:t>účastníkem</w:t>
      </w:r>
      <w:r w:rsidRPr="00397AD3">
        <w:rPr>
          <w:color w:val="000000"/>
          <w:sz w:val="24"/>
          <w:szCs w:val="24"/>
          <w:highlight w:val="white"/>
        </w:rPr>
        <w:t xml:space="preserve"> pobočka závodu</w:t>
      </w:r>
    </w:p>
    <w:p w14:paraId="419796E4" w14:textId="77777777" w:rsidR="00E579BD" w:rsidRPr="00397AD3" w:rsidRDefault="00E579BD" w:rsidP="00396B07">
      <w:pPr>
        <w:pStyle w:val="Odstavecseseznamem"/>
        <w:numPr>
          <w:ilvl w:val="0"/>
          <w:numId w:val="5"/>
        </w:numPr>
        <w:spacing w:after="120"/>
        <w:ind w:left="993" w:hanging="426"/>
        <w:jc w:val="both"/>
        <w:rPr>
          <w:sz w:val="24"/>
          <w:szCs w:val="24"/>
        </w:rPr>
      </w:pPr>
      <w:r w:rsidRPr="00397AD3">
        <w:rPr>
          <w:color w:val="000000"/>
          <w:sz w:val="24"/>
          <w:szCs w:val="24"/>
        </w:rPr>
        <w:t>zahraniční právnické osoby, splňuje podmínku podle odstavce 1.1 tato právnická osoba a vedoucí pobočky závodu,</w:t>
      </w:r>
    </w:p>
    <w:p w14:paraId="6F84867D" w14:textId="77777777" w:rsidR="00E579BD" w:rsidRPr="00397AD3" w:rsidRDefault="00E579BD" w:rsidP="00396B07">
      <w:pPr>
        <w:pStyle w:val="Odstavecseseznamem"/>
        <w:numPr>
          <w:ilvl w:val="0"/>
          <w:numId w:val="5"/>
        </w:numPr>
        <w:spacing w:after="120"/>
        <w:ind w:left="993" w:hanging="426"/>
        <w:jc w:val="both"/>
        <w:rPr>
          <w:sz w:val="24"/>
          <w:szCs w:val="24"/>
        </w:rPr>
      </w:pPr>
      <w:r w:rsidRPr="00397AD3">
        <w:rPr>
          <w:color w:val="000000"/>
          <w:sz w:val="24"/>
          <w:szCs w:val="24"/>
        </w:rPr>
        <w:t>české právnické osoby, splňují podmínku podle odstavce 1.1 osoby uvedené v odstavci 1.6 a vedoucí pobočky závodu.</w:t>
      </w:r>
    </w:p>
    <w:p w14:paraId="4A2850A9" w14:textId="77777777" w:rsidR="00E579BD" w:rsidRDefault="00E579BD" w:rsidP="00E579BD">
      <w:pPr>
        <w:jc w:val="both"/>
      </w:pPr>
    </w:p>
    <w:p w14:paraId="07AB48ED" w14:textId="77777777" w:rsidR="00E579BD" w:rsidRDefault="00E579BD" w:rsidP="00E579BD">
      <w:pPr>
        <w:jc w:val="both"/>
      </w:pPr>
      <w:r>
        <w:t xml:space="preserve">Splnění základní způsobilosti </w:t>
      </w:r>
      <w:r w:rsidRPr="005C472D">
        <w:t xml:space="preserve">dle bodu 5 </w:t>
      </w:r>
      <w:r>
        <w:t>A</w:t>
      </w:r>
      <w:r w:rsidRPr="005C472D">
        <w:t>) 1.1 – 1.</w:t>
      </w:r>
      <w:r>
        <w:t>7</w:t>
      </w:r>
      <w:r w:rsidRPr="005C472D">
        <w:t xml:space="preserve"> </w:t>
      </w:r>
      <w:r>
        <w:t xml:space="preserve">Zadávací dokumentace </w:t>
      </w:r>
      <w:r w:rsidRPr="005C472D">
        <w:t xml:space="preserve">prokáže </w:t>
      </w:r>
      <w:r>
        <w:t>účastník</w:t>
      </w:r>
      <w:r w:rsidRPr="005C472D">
        <w:t xml:space="preserve"> předložením čestného </w:t>
      </w:r>
      <w:r w:rsidRPr="00D221C9">
        <w:t>prohlášení (závazný</w:t>
      </w:r>
      <w:r>
        <w:t xml:space="preserve"> vzor je přílohou č. 2 Zadávací dokumentace)</w:t>
      </w:r>
      <w:r w:rsidRPr="005C472D">
        <w:t xml:space="preserve">, z jehož obsahu bude zřejmé, že </w:t>
      </w:r>
      <w:r>
        <w:t>splňuje výše uvedené skutečnosti</w:t>
      </w:r>
      <w:r w:rsidRPr="0035705C">
        <w:t>.</w:t>
      </w:r>
    </w:p>
    <w:p w14:paraId="5119644B" w14:textId="77777777" w:rsidR="00E579BD" w:rsidRDefault="00E579BD" w:rsidP="00E579BD">
      <w:pPr>
        <w:jc w:val="both"/>
      </w:pPr>
    </w:p>
    <w:p w14:paraId="562973ED" w14:textId="77777777" w:rsidR="00E579BD" w:rsidRPr="00337172" w:rsidRDefault="00E579BD" w:rsidP="00E579BD">
      <w:pPr>
        <w:jc w:val="both"/>
      </w:pPr>
      <w:r>
        <w:t>B)</w:t>
      </w:r>
      <w:r w:rsidRPr="00337172">
        <w:t xml:space="preserve"> </w:t>
      </w:r>
      <w:r>
        <w:rPr>
          <w:b/>
        </w:rPr>
        <w:t>P</w:t>
      </w:r>
      <w:r w:rsidRPr="00B017E7">
        <w:rPr>
          <w:b/>
        </w:rPr>
        <w:t>ro</w:t>
      </w:r>
      <w:r>
        <w:rPr>
          <w:b/>
        </w:rPr>
        <w:t>fesní způsobilost</w:t>
      </w:r>
      <w:r>
        <w:t xml:space="preserve"> prokáže účastník výpisem z Obchodního rejstříku nebo jiné obdobné evidence ne starším 90 dnů </w:t>
      </w:r>
      <w:r w:rsidRPr="007E0EFD">
        <w:t>ode dne zahájení výběrového řízení</w:t>
      </w:r>
      <w:r>
        <w:t xml:space="preserve"> – postačuje prostá kopie. V případě zahraničního účastníka doloží výpis z obdobné evidence přeložený do ČJ (povinnost překladu neplatí pro dokumenty ve slovenštině).</w:t>
      </w:r>
    </w:p>
    <w:p w14:paraId="0F512D68" w14:textId="77777777" w:rsidR="00E579BD" w:rsidRDefault="00E579BD" w:rsidP="00E579BD">
      <w:pPr>
        <w:jc w:val="both"/>
      </w:pPr>
    </w:p>
    <w:p w14:paraId="3847AE3F" w14:textId="3FA9EC61" w:rsidR="003E6DE1" w:rsidRPr="00B35E58" w:rsidRDefault="00E579BD" w:rsidP="00E579BD">
      <w:pPr>
        <w:overflowPunct w:val="0"/>
        <w:autoSpaceDE w:val="0"/>
        <w:autoSpaceDN w:val="0"/>
        <w:adjustRightInd w:val="0"/>
        <w:jc w:val="both"/>
        <w:textAlignment w:val="baseline"/>
      </w:pPr>
      <w:r>
        <w:t>C)</w:t>
      </w:r>
      <w:r w:rsidRPr="00337172">
        <w:rPr>
          <w:sz w:val="22"/>
        </w:rPr>
        <w:t xml:space="preserve"> </w:t>
      </w:r>
      <w:r>
        <w:rPr>
          <w:b/>
        </w:rPr>
        <w:t>Technickou kvalifikaci</w:t>
      </w:r>
      <w:r w:rsidR="003E6DE1" w:rsidRPr="00B35E58">
        <w:t xml:space="preserve"> splní </w:t>
      </w:r>
      <w:r>
        <w:t>účastník</w:t>
      </w:r>
      <w:r w:rsidR="003E6DE1" w:rsidRPr="00B35E58">
        <w:t xml:space="preserve"> předložením seznamu významných dod</w:t>
      </w:r>
      <w:r w:rsidR="00A1029A">
        <w:t>ávek realizovaných v </w:t>
      </w:r>
      <w:r w:rsidR="00A1029A" w:rsidRPr="007D30D5">
        <w:t xml:space="preserve">letech </w:t>
      </w:r>
      <w:r w:rsidR="00E1320A" w:rsidRPr="007D30D5">
        <w:t>2014</w:t>
      </w:r>
      <w:r w:rsidR="009D32AC">
        <w:t xml:space="preserve"> – 2018</w:t>
      </w:r>
      <w:r w:rsidR="003E6DE1" w:rsidRPr="007D30D5">
        <w:t xml:space="preserve"> s uvedením jejich rozsahu a doby plnění. Minimální úroveň jsou 3 dodávky obdobného charakteru realizované </w:t>
      </w:r>
      <w:r w:rsidR="00E1320A" w:rsidRPr="007D30D5">
        <w:t>v letech 2014</w:t>
      </w:r>
      <w:r w:rsidR="003E6DE1" w:rsidRPr="007D30D5">
        <w:t xml:space="preserve"> – 201</w:t>
      </w:r>
      <w:r w:rsidR="009D32AC">
        <w:t>8</w:t>
      </w:r>
      <w:r w:rsidR="009D585F" w:rsidRPr="007D30D5">
        <w:t xml:space="preserve">, každá v hodnotě </w:t>
      </w:r>
      <w:r w:rsidR="009D585F" w:rsidRPr="00BE095A">
        <w:lastRenderedPageBreak/>
        <w:t xml:space="preserve">minimálně </w:t>
      </w:r>
      <w:r w:rsidR="007B00CF" w:rsidRPr="00BE095A">
        <w:t>3</w:t>
      </w:r>
      <w:r w:rsidR="00BC10F2" w:rsidRPr="00BE095A">
        <w:t xml:space="preserve"> 250</w:t>
      </w:r>
      <w:r w:rsidR="00583C1C" w:rsidRPr="00BE095A">
        <w:t xml:space="preserve"> 000</w:t>
      </w:r>
      <w:r w:rsidR="009D585F" w:rsidRPr="00BE095A">
        <w:t>,- Kč (bez DPH).</w:t>
      </w:r>
      <w:r w:rsidR="00085499" w:rsidRPr="00BE095A">
        <w:t xml:space="preserve"> </w:t>
      </w:r>
      <w:r w:rsidRPr="00BE095A">
        <w:rPr>
          <w:sz w:val="23"/>
          <w:szCs w:val="23"/>
        </w:rPr>
        <w:t>Seznam dodávek (včetně uvedení smluvního partnera)</w:t>
      </w:r>
      <w:r w:rsidRPr="005B0001">
        <w:rPr>
          <w:sz w:val="23"/>
          <w:szCs w:val="23"/>
        </w:rPr>
        <w:t xml:space="preserve"> </w:t>
      </w:r>
      <w:r>
        <w:rPr>
          <w:sz w:val="23"/>
          <w:szCs w:val="23"/>
        </w:rPr>
        <w:t>účastník</w:t>
      </w:r>
      <w:r w:rsidRPr="005B0001">
        <w:rPr>
          <w:sz w:val="23"/>
          <w:szCs w:val="23"/>
        </w:rPr>
        <w:t xml:space="preserve"> </w:t>
      </w:r>
      <w:r>
        <w:rPr>
          <w:sz w:val="23"/>
          <w:szCs w:val="23"/>
        </w:rPr>
        <w:t>předloží</w:t>
      </w:r>
      <w:r w:rsidRPr="005B0001">
        <w:rPr>
          <w:sz w:val="23"/>
          <w:szCs w:val="23"/>
        </w:rPr>
        <w:t xml:space="preserve"> formou originálu čestného</w:t>
      </w:r>
      <w:r w:rsidRPr="00B35E58">
        <w:rPr>
          <w:sz w:val="23"/>
          <w:szCs w:val="23"/>
        </w:rPr>
        <w:t xml:space="preserve"> prohlášení podepsaného osobou oprávněnou jednat jménem či za </w:t>
      </w:r>
      <w:r>
        <w:rPr>
          <w:sz w:val="23"/>
          <w:szCs w:val="23"/>
        </w:rPr>
        <w:t>účastník</w:t>
      </w:r>
      <w:r w:rsidRPr="00337172">
        <w:rPr>
          <w:sz w:val="23"/>
          <w:szCs w:val="23"/>
        </w:rPr>
        <w:t>a.</w:t>
      </w:r>
    </w:p>
    <w:p w14:paraId="30F47AF5" w14:textId="77777777" w:rsidR="003E6DE1" w:rsidRPr="001049F5" w:rsidRDefault="003E6DE1" w:rsidP="003E6DE1">
      <w:pPr>
        <w:pStyle w:val="Nadpis1"/>
        <w:jc w:val="both"/>
      </w:pPr>
      <w:r>
        <w:t xml:space="preserve">6. </w:t>
      </w:r>
      <w:r w:rsidRPr="001049F5">
        <w:t>Obsah nabídky</w:t>
      </w:r>
    </w:p>
    <w:p w14:paraId="2E1DDB34" w14:textId="77777777" w:rsidR="003E6DE1" w:rsidRDefault="003E6DE1" w:rsidP="00337172">
      <w:pPr>
        <w:numPr>
          <w:ilvl w:val="0"/>
          <w:numId w:val="1"/>
        </w:numPr>
        <w:tabs>
          <w:tab w:val="clear" w:pos="720"/>
        </w:tabs>
        <w:ind w:left="851" w:hanging="491"/>
        <w:jc w:val="both"/>
      </w:pPr>
      <w:r>
        <w:t>Číslovaný obsah s očíslovanými listy nabídky</w:t>
      </w:r>
    </w:p>
    <w:p w14:paraId="4A6F1755" w14:textId="77777777" w:rsidR="003E6DE1" w:rsidRPr="0035705C" w:rsidRDefault="003E6DE1" w:rsidP="00337172">
      <w:pPr>
        <w:numPr>
          <w:ilvl w:val="0"/>
          <w:numId w:val="1"/>
        </w:numPr>
        <w:tabs>
          <w:tab w:val="clear" w:pos="720"/>
        </w:tabs>
        <w:ind w:left="851" w:hanging="491"/>
        <w:jc w:val="both"/>
      </w:pPr>
      <w:r w:rsidRPr="0035705C">
        <w:t xml:space="preserve">Krycí list nabídky (podepsaný statutárním zástupcem nebo zmocněnou osobou </w:t>
      </w:r>
      <w:r w:rsidR="00E579BD">
        <w:t>účastníka</w:t>
      </w:r>
      <w:r w:rsidRPr="0035705C">
        <w:t>, vzor formuláře je přílohou č. 1)</w:t>
      </w:r>
    </w:p>
    <w:p w14:paraId="22DEEF9F" w14:textId="77777777" w:rsidR="003E6DE1" w:rsidRDefault="003E6DE1" w:rsidP="00337172">
      <w:pPr>
        <w:numPr>
          <w:ilvl w:val="0"/>
          <w:numId w:val="1"/>
        </w:numPr>
        <w:tabs>
          <w:tab w:val="clear" w:pos="720"/>
        </w:tabs>
        <w:ind w:left="851" w:hanging="491"/>
        <w:jc w:val="both"/>
      </w:pPr>
      <w:r>
        <w:t>Kontaktní osoby pověřené realizací zakázky</w:t>
      </w:r>
    </w:p>
    <w:p w14:paraId="1C6B1E9F" w14:textId="7F00BEF9" w:rsidR="00130667" w:rsidRPr="00474789" w:rsidRDefault="00130667" w:rsidP="00337172">
      <w:pPr>
        <w:numPr>
          <w:ilvl w:val="0"/>
          <w:numId w:val="1"/>
        </w:numPr>
        <w:tabs>
          <w:tab w:val="clear" w:pos="720"/>
        </w:tabs>
        <w:ind w:left="851" w:hanging="491"/>
        <w:jc w:val="both"/>
      </w:pPr>
      <w:r w:rsidRPr="00474789">
        <w:t>Prokázání kvalifikace</w:t>
      </w:r>
      <w:r>
        <w:t xml:space="preserve"> </w:t>
      </w:r>
      <w:r w:rsidRPr="0096001E">
        <w:t>(pro základní kvalifikační předpoklady příloha č. 2 + další požadované dokumenty pro splnění kvalifikací)</w:t>
      </w:r>
    </w:p>
    <w:p w14:paraId="2FE99968" w14:textId="77777777" w:rsidR="003E6DE1" w:rsidRPr="003B7CAD" w:rsidRDefault="003E6DE1" w:rsidP="00337172">
      <w:pPr>
        <w:numPr>
          <w:ilvl w:val="0"/>
          <w:numId w:val="1"/>
        </w:numPr>
        <w:tabs>
          <w:tab w:val="clear" w:pos="720"/>
        </w:tabs>
        <w:ind w:left="851" w:hanging="491"/>
        <w:jc w:val="both"/>
      </w:pPr>
      <w:r w:rsidRPr="003B7CAD">
        <w:t xml:space="preserve">Čestné prohlášení s délkou platnosti nabídky </w:t>
      </w:r>
    </w:p>
    <w:p w14:paraId="57D8E915" w14:textId="4AB4EE8F" w:rsidR="00130667" w:rsidRDefault="00130667" w:rsidP="00822C3F">
      <w:pPr>
        <w:numPr>
          <w:ilvl w:val="0"/>
          <w:numId w:val="1"/>
        </w:numPr>
        <w:tabs>
          <w:tab w:val="clear" w:pos="720"/>
        </w:tabs>
        <w:ind w:left="851" w:hanging="491"/>
        <w:jc w:val="both"/>
      </w:pPr>
      <w:r>
        <w:t>Vyplněná tabulka „</w:t>
      </w:r>
      <w:r w:rsidR="00822C3F" w:rsidRPr="00822C3F">
        <w:t>Centrovací stroj pro opracování optických dílů</w:t>
      </w:r>
      <w:r>
        <w:t>“</w:t>
      </w:r>
      <w:r w:rsidRPr="007959F0">
        <w:t xml:space="preserve"> </w:t>
      </w:r>
      <w:r>
        <w:t>(příloha č. 3)</w:t>
      </w:r>
    </w:p>
    <w:p w14:paraId="65011F95" w14:textId="44477F53" w:rsidR="003E6DE1" w:rsidRDefault="003E6DE1" w:rsidP="00337172">
      <w:pPr>
        <w:numPr>
          <w:ilvl w:val="0"/>
          <w:numId w:val="1"/>
        </w:numPr>
        <w:tabs>
          <w:tab w:val="clear" w:pos="720"/>
        </w:tabs>
        <w:ind w:left="851" w:hanging="491"/>
        <w:jc w:val="both"/>
      </w:pPr>
      <w:r w:rsidRPr="00F3406F">
        <w:t>Nabídková cena s položkovým rozpočtem</w:t>
      </w:r>
    </w:p>
    <w:p w14:paraId="77258AF7" w14:textId="77777777" w:rsidR="003E6DE1" w:rsidRDefault="003E6DE1" w:rsidP="00337172">
      <w:pPr>
        <w:numPr>
          <w:ilvl w:val="0"/>
          <w:numId w:val="1"/>
        </w:numPr>
        <w:tabs>
          <w:tab w:val="clear" w:pos="720"/>
        </w:tabs>
        <w:ind w:left="851" w:hanging="491"/>
        <w:jc w:val="both"/>
      </w:pPr>
      <w:r>
        <w:t>Harmonogram plnění (členěný na kalendářní týdny předpokládané realizace)</w:t>
      </w:r>
    </w:p>
    <w:p w14:paraId="5C48E4FC" w14:textId="68BE6922" w:rsidR="00130667" w:rsidRDefault="00130667" w:rsidP="00337172">
      <w:pPr>
        <w:numPr>
          <w:ilvl w:val="0"/>
          <w:numId w:val="1"/>
        </w:numPr>
        <w:tabs>
          <w:tab w:val="clear" w:pos="720"/>
        </w:tabs>
        <w:ind w:left="851" w:hanging="491"/>
        <w:jc w:val="both"/>
      </w:pPr>
      <w:r>
        <w:t xml:space="preserve">Podepsaný návrh kupní smlouvy/přijetí podmínek </w:t>
      </w:r>
    </w:p>
    <w:p w14:paraId="211ADFBB" w14:textId="77777777" w:rsidR="003E6DE1" w:rsidRDefault="003E6DE1" w:rsidP="00337172">
      <w:pPr>
        <w:numPr>
          <w:ilvl w:val="0"/>
          <w:numId w:val="1"/>
        </w:numPr>
        <w:tabs>
          <w:tab w:val="clear" w:pos="720"/>
        </w:tabs>
        <w:ind w:left="851" w:hanging="491"/>
        <w:jc w:val="both"/>
      </w:pPr>
      <w:r w:rsidRPr="00082159">
        <w:t xml:space="preserve">CD (v obálce) </w:t>
      </w:r>
      <w:r w:rsidR="00934F0A">
        <w:t xml:space="preserve">s kompletní nabídkou (body 1 - </w:t>
      </w:r>
      <w:r w:rsidR="00563D17">
        <w:t>9</w:t>
      </w:r>
      <w:r w:rsidRPr="00082159">
        <w:t>)</w:t>
      </w:r>
      <w:r>
        <w:t xml:space="preserve"> 1 ks pro originál + 1 ks pro kopii</w:t>
      </w:r>
    </w:p>
    <w:p w14:paraId="1F05C6C0" w14:textId="56C8CBA6" w:rsidR="003E6DE1" w:rsidRPr="001049F5" w:rsidRDefault="003E6DE1" w:rsidP="003E6DE1">
      <w:pPr>
        <w:pStyle w:val="Nadpis1"/>
        <w:jc w:val="both"/>
      </w:pPr>
      <w:r>
        <w:t xml:space="preserve">7. </w:t>
      </w:r>
      <w:r w:rsidRPr="001049F5">
        <w:t>Způsob zpracování nabídky</w:t>
      </w:r>
    </w:p>
    <w:p w14:paraId="3BA687F8" w14:textId="77777777" w:rsidR="00E579BD" w:rsidRDefault="00E579BD" w:rsidP="00E579BD">
      <w:pPr>
        <w:jc w:val="both"/>
        <w:rPr>
          <w:snapToGrid w:val="0"/>
        </w:rPr>
      </w:pPr>
      <w:r>
        <w:rPr>
          <w:snapToGrid w:val="0"/>
        </w:rPr>
        <w:t>Nabídku podá účastník písemně ve dvou vyhotoveních, která musí být zpracována dle bodu 6 této zadávací dokumentace. Jedno vyhotovení nabídky bude předloženo a označeno jako „ORIGINÁL“, druhé vyhotovení nabídky bude předloženo a označeno jako „KOPIE“. ORIGINÁL i KOPIE budou dány do jedné obálky. Zadavatel vyžaduje také elektronickou, kompletní a podepsanou verzi nabídky ve formátu PDF na datovém nosiči (CD), jedno CD pro originál, jedno pro kopii.</w:t>
      </w:r>
    </w:p>
    <w:p w14:paraId="7EBB1539" w14:textId="77777777" w:rsidR="00E579BD" w:rsidRDefault="00E579BD" w:rsidP="00E579BD">
      <w:pPr>
        <w:jc w:val="both"/>
        <w:rPr>
          <w:snapToGrid w:val="0"/>
        </w:rPr>
      </w:pPr>
    </w:p>
    <w:p w14:paraId="6A2A2DA1" w14:textId="77777777" w:rsidR="00E579BD" w:rsidRDefault="00E579BD" w:rsidP="00E579BD">
      <w:pPr>
        <w:jc w:val="both"/>
        <w:rPr>
          <w:snapToGrid w:val="0"/>
        </w:rPr>
      </w:pPr>
      <w:r w:rsidRPr="009174C6">
        <w:rPr>
          <w:snapToGrid w:val="0"/>
        </w:rPr>
        <w:t>Předmětem posuzování je originál tištěné nabídky.</w:t>
      </w:r>
    </w:p>
    <w:p w14:paraId="6F25787D" w14:textId="77777777" w:rsidR="00E579BD" w:rsidRDefault="00E579BD" w:rsidP="00E579BD">
      <w:pPr>
        <w:jc w:val="both"/>
        <w:rPr>
          <w:snapToGrid w:val="0"/>
        </w:rPr>
      </w:pPr>
      <w:r>
        <w:rPr>
          <w:snapToGrid w:val="0"/>
        </w:rPr>
        <w:t xml:space="preserve">Nabídka musí být zpracována v českém jazyce. </w:t>
      </w:r>
      <w:r w:rsidRPr="009929D6">
        <w:rPr>
          <w:snapToGrid w:val="0"/>
        </w:rPr>
        <w:t>Jednotlivé listy nabídky musí být číslovány.</w:t>
      </w:r>
      <w:r>
        <w:rPr>
          <w:snapToGrid w:val="0"/>
        </w:rPr>
        <w:t xml:space="preserve"> Všechny listy musí být nerozebíratelně spojeny (svázány) do jednoho celku a zajištěny. Listy nabídky nesmí obsahovat přepisy, škrty nebo jiné úpravy. Varianty </w:t>
      </w:r>
      <w:r w:rsidRPr="00E442BA">
        <w:rPr>
          <w:snapToGrid w:val="0"/>
        </w:rPr>
        <w:t>nabídek a nabídky obsahující plnění nad rámec požadovaného v zadávací dokumentaci jsou nepřípustné.</w:t>
      </w:r>
    </w:p>
    <w:p w14:paraId="0B8C4F0C" w14:textId="77777777" w:rsidR="00E579BD" w:rsidRDefault="00E579BD" w:rsidP="00E579BD">
      <w:pPr>
        <w:jc w:val="both"/>
        <w:rPr>
          <w:snapToGrid w:val="0"/>
        </w:rPr>
      </w:pPr>
    </w:p>
    <w:p w14:paraId="20C127BF" w14:textId="77777777" w:rsidR="00E579BD" w:rsidRDefault="00E579BD" w:rsidP="00E579BD">
      <w:pPr>
        <w:jc w:val="both"/>
        <w:rPr>
          <w:snapToGrid w:val="0"/>
        </w:rPr>
      </w:pPr>
      <w:r>
        <w:rPr>
          <w:snapToGrid w:val="0"/>
        </w:rPr>
        <w:t xml:space="preserve">Nabídková cena musí být </w:t>
      </w:r>
      <w:r w:rsidRPr="00ED4683">
        <w:rPr>
          <w:snapToGrid w:val="0"/>
        </w:rPr>
        <w:t>uvedena v CZK nebo EUR</w:t>
      </w:r>
      <w:r>
        <w:rPr>
          <w:snapToGrid w:val="0"/>
        </w:rPr>
        <w:t xml:space="preserve"> v celkových cenách bez DPH. </w:t>
      </w:r>
      <w:r w:rsidRPr="00B35E58">
        <w:rPr>
          <w:b/>
          <w:snapToGrid w:val="0"/>
        </w:rPr>
        <w:t>Nabídková cena musí být konečná</w:t>
      </w:r>
      <w:r w:rsidRPr="002B5811">
        <w:rPr>
          <w:b/>
          <w:snapToGrid w:val="0"/>
        </w:rPr>
        <w:t>.</w:t>
      </w:r>
      <w:r>
        <w:rPr>
          <w:snapToGrid w:val="0"/>
        </w:rPr>
        <w:t xml:space="preserve"> </w:t>
      </w:r>
      <w:r w:rsidRPr="00D93137">
        <w:rPr>
          <w:snapToGrid w:val="0"/>
        </w:rPr>
        <w:t xml:space="preserve">Hodnotí se cena bez DPH v CZK. </w:t>
      </w:r>
      <w:r w:rsidRPr="00F114EE">
        <w:rPr>
          <w:snapToGrid w:val="0"/>
        </w:rPr>
        <w:t>Nabídky v EUR</w:t>
      </w:r>
      <w:r w:rsidRPr="00007412">
        <w:rPr>
          <w:snapToGrid w:val="0"/>
        </w:rPr>
        <w:t xml:space="preserve"> se </w:t>
      </w:r>
      <w:r>
        <w:rPr>
          <w:snapToGrid w:val="0"/>
        </w:rPr>
        <w:t xml:space="preserve">pro účely hodnocení </w:t>
      </w:r>
      <w:r w:rsidRPr="00007412">
        <w:rPr>
          <w:snapToGrid w:val="0"/>
        </w:rPr>
        <w:t xml:space="preserve">přepočítávají kurzem ČNB platnému pro poslední den lhůty pro podání nabídek. </w:t>
      </w:r>
    </w:p>
    <w:p w14:paraId="2D1EA08E" w14:textId="77777777" w:rsidR="00E579BD" w:rsidRDefault="00E579BD" w:rsidP="00E579BD">
      <w:pPr>
        <w:jc w:val="both"/>
        <w:rPr>
          <w:snapToGrid w:val="0"/>
        </w:rPr>
      </w:pPr>
    </w:p>
    <w:p w14:paraId="0B023D15" w14:textId="62D443B1" w:rsidR="00E579BD" w:rsidRDefault="00E579BD" w:rsidP="00E579BD">
      <w:pPr>
        <w:jc w:val="both"/>
        <w:rPr>
          <w:snapToGrid w:val="0"/>
        </w:rPr>
      </w:pPr>
      <w:r>
        <w:rPr>
          <w:snapToGrid w:val="0"/>
        </w:rPr>
        <w:t>Nabídková cena musí být členě</w:t>
      </w:r>
      <w:r w:rsidR="00F114EE">
        <w:rPr>
          <w:snapToGrid w:val="0"/>
        </w:rPr>
        <w:t>na na jednotlivé položkové ceny</w:t>
      </w:r>
      <w:r w:rsidR="00130667">
        <w:rPr>
          <w:snapToGrid w:val="0"/>
        </w:rPr>
        <w:t>.</w:t>
      </w:r>
    </w:p>
    <w:p w14:paraId="6FEE0BC5" w14:textId="77777777" w:rsidR="00E579BD" w:rsidRDefault="00E579BD" w:rsidP="00E579BD">
      <w:pPr>
        <w:jc w:val="both"/>
        <w:rPr>
          <w:snapToGrid w:val="0"/>
        </w:rPr>
      </w:pPr>
    </w:p>
    <w:p w14:paraId="1A4666CD" w14:textId="77777777" w:rsidR="003E6DE1" w:rsidRDefault="00E579BD" w:rsidP="00E579BD">
      <w:pPr>
        <w:jc w:val="both"/>
      </w:pPr>
      <w:r>
        <w:rPr>
          <w:snapToGrid w:val="0"/>
        </w:rPr>
        <w:t xml:space="preserve">Doba, po kterou jsou účastníci vázáni obsahem nabídky, je </w:t>
      </w:r>
      <w:r w:rsidRPr="00D93137">
        <w:rPr>
          <w:snapToGrid w:val="0"/>
        </w:rPr>
        <w:t>stanovena na 90 dní od</w:t>
      </w:r>
      <w:r>
        <w:rPr>
          <w:snapToGrid w:val="0"/>
        </w:rPr>
        <w:t xml:space="preserve"> posledního dne lhůty pro podání nabídek. Tato doba se prodlužuje účastníkům, se kterými bude možné uzavřít smlouvu až do uzavření smlouvy. </w:t>
      </w:r>
      <w:r w:rsidRPr="002B5811">
        <w:rPr>
          <w:snapToGrid w:val="0"/>
        </w:rPr>
        <w:t xml:space="preserve">Podepsané čestné prohlášení </w:t>
      </w:r>
      <w:r w:rsidRPr="002B5811">
        <w:t xml:space="preserve">(osobou oprávněnou jednat jménem či za </w:t>
      </w:r>
      <w:r>
        <w:t>účastníka</w:t>
      </w:r>
      <w:r w:rsidRPr="002B5811">
        <w:t xml:space="preserve">) o délce platnosti podané nabídky bude součástí </w:t>
      </w:r>
      <w:r>
        <w:t>části 5 nabídky.</w:t>
      </w:r>
    </w:p>
    <w:p w14:paraId="19E27F0C" w14:textId="77777777" w:rsidR="00E579BD" w:rsidRDefault="00E579BD" w:rsidP="00E579BD">
      <w:pPr>
        <w:jc w:val="both"/>
      </w:pPr>
    </w:p>
    <w:p w14:paraId="2130A828" w14:textId="121B4ECD" w:rsidR="003E6DE1" w:rsidRDefault="003E6DE1" w:rsidP="003E6DE1">
      <w:pPr>
        <w:jc w:val="both"/>
      </w:pPr>
      <w:r w:rsidRPr="00180DFF">
        <w:rPr>
          <w:snapToGrid w:val="0"/>
        </w:rPr>
        <w:lastRenderedPageBreak/>
        <w:t xml:space="preserve">Nabídka musí v části </w:t>
      </w:r>
      <w:r w:rsidR="00563D17" w:rsidRPr="0086000A">
        <w:rPr>
          <w:snapToGrid w:val="0"/>
        </w:rPr>
        <w:t>6</w:t>
      </w:r>
      <w:r w:rsidRPr="0086000A">
        <w:rPr>
          <w:snapToGrid w:val="0"/>
        </w:rPr>
        <w:t xml:space="preserve"> „</w:t>
      </w:r>
      <w:r w:rsidR="00822C3F" w:rsidRPr="00822C3F">
        <w:t>Centrovací stroj pro opracování optických dílů</w:t>
      </w:r>
      <w:r w:rsidRPr="0086000A">
        <w:rPr>
          <w:snapToGrid w:val="0"/>
        </w:rPr>
        <w:t xml:space="preserve">“ obsahovat vyplněnou tabulku, která je přílohou č. </w:t>
      </w:r>
      <w:r w:rsidR="00FA5376" w:rsidRPr="0086000A">
        <w:rPr>
          <w:snapToGrid w:val="0"/>
        </w:rPr>
        <w:t>3</w:t>
      </w:r>
      <w:r w:rsidR="00164669" w:rsidRPr="0086000A">
        <w:rPr>
          <w:snapToGrid w:val="0"/>
        </w:rPr>
        <w:t xml:space="preserve"> </w:t>
      </w:r>
      <w:r w:rsidRPr="0086000A">
        <w:rPr>
          <w:snapToGrid w:val="0"/>
        </w:rPr>
        <w:t xml:space="preserve">této zadávací dokumentace. </w:t>
      </w:r>
      <w:r w:rsidRPr="0086000A">
        <w:t>Nevyplnění či nesplnění jednoho nebo více parametrů znamená nesplnění</w:t>
      </w:r>
      <w:r w:rsidRPr="00180DFF">
        <w:t xml:space="preserve"> technických požadavků a vyřazení nabídky z hodnocení.</w:t>
      </w:r>
    </w:p>
    <w:p w14:paraId="62AFD43B" w14:textId="77777777" w:rsidR="003E6DE1" w:rsidRDefault="003E6DE1" w:rsidP="003E6DE1">
      <w:pPr>
        <w:jc w:val="both"/>
      </w:pPr>
    </w:p>
    <w:p w14:paraId="0E6DC323" w14:textId="77777777" w:rsidR="00E579BD" w:rsidRDefault="00E579BD" w:rsidP="00E579BD">
      <w:pPr>
        <w:jc w:val="both"/>
        <w:rPr>
          <w:snapToGrid w:val="0"/>
        </w:rPr>
      </w:pPr>
      <w:r>
        <w:rPr>
          <w:snapToGrid w:val="0"/>
        </w:rPr>
        <w:t>Účastník může podat pouze jednu nabídku. Pokud podá více nabídek samostatně nebo společně s dalšími účastníky v tomto výběrovém řízení, zadavatel všechny nabídky podané takovým účastníkem samostatně nebo společně s jinými vyřadí.</w:t>
      </w:r>
    </w:p>
    <w:p w14:paraId="23E3D82E" w14:textId="77777777" w:rsidR="003E6DE1" w:rsidRDefault="003E6DE1" w:rsidP="003E6DE1">
      <w:pPr>
        <w:jc w:val="both"/>
        <w:rPr>
          <w:snapToGrid w:val="0"/>
        </w:rPr>
      </w:pPr>
    </w:p>
    <w:p w14:paraId="76E9149B" w14:textId="3DA35D8A" w:rsidR="003E6DE1" w:rsidRDefault="003E6DE1" w:rsidP="003E6DE1">
      <w:pPr>
        <w:jc w:val="both"/>
      </w:pPr>
      <w:r>
        <w:rPr>
          <w:snapToGrid w:val="0"/>
        </w:rPr>
        <w:t xml:space="preserve">Nabídka bude předána nebo poslána na adresu zadavatele v jedné řádně uzavřené obálce </w:t>
      </w:r>
      <w:r w:rsidRPr="007D30D5">
        <w:rPr>
          <w:snapToGrid w:val="0"/>
        </w:rPr>
        <w:t xml:space="preserve">výrazně označené nápisem </w:t>
      </w:r>
      <w:r w:rsidRPr="00165E30">
        <w:rPr>
          <w:b/>
          <w:snapToGrid w:val="0"/>
        </w:rPr>
        <w:t>„Výběrové řízení –</w:t>
      </w:r>
      <w:r w:rsidR="005013F9" w:rsidRPr="00165E30">
        <w:rPr>
          <w:b/>
          <w:snapToGrid w:val="0"/>
        </w:rPr>
        <w:t xml:space="preserve"> </w:t>
      </w:r>
      <w:r w:rsidR="00822C3F" w:rsidRPr="00822C3F">
        <w:rPr>
          <w:b/>
        </w:rPr>
        <w:t xml:space="preserve">Centrovací stroj pro opracování optických dílů </w:t>
      </w:r>
      <w:r w:rsidR="00165E30" w:rsidRPr="00165E30">
        <w:rPr>
          <w:b/>
        </w:rPr>
        <w:t>–</w:t>
      </w:r>
      <w:r w:rsidR="00E1320A" w:rsidRPr="00165E30">
        <w:rPr>
          <w:b/>
        </w:rPr>
        <w:t xml:space="preserve"> Neotvírat</w:t>
      </w:r>
      <w:r w:rsidR="00165E30" w:rsidRPr="00165E30">
        <w:rPr>
          <w:b/>
        </w:rPr>
        <w:t>!</w:t>
      </w:r>
      <w:r w:rsidRPr="00165E30">
        <w:rPr>
          <w:b/>
        </w:rPr>
        <w:t>“</w:t>
      </w:r>
      <w:r w:rsidRPr="007D30D5">
        <w:t>. Na</w:t>
      </w:r>
      <w:r w:rsidRPr="0086000A">
        <w:t xml:space="preserve"> obá</w:t>
      </w:r>
      <w:r>
        <w:t xml:space="preserve">lce musí být název </w:t>
      </w:r>
      <w:r w:rsidR="00E579BD">
        <w:t>účastníka</w:t>
      </w:r>
      <w:r>
        <w:t xml:space="preserve"> a jeho adresa.</w:t>
      </w:r>
    </w:p>
    <w:p w14:paraId="66C86B7A" w14:textId="77777777" w:rsidR="003E6DE1" w:rsidRDefault="003E6DE1" w:rsidP="003E6DE1">
      <w:pPr>
        <w:jc w:val="both"/>
      </w:pPr>
    </w:p>
    <w:p w14:paraId="31D01A30" w14:textId="62A797A0" w:rsidR="00E579BD" w:rsidRPr="007F6504" w:rsidRDefault="00E579BD" w:rsidP="00E579BD">
      <w:pPr>
        <w:jc w:val="both"/>
        <w:rPr>
          <w:b/>
        </w:rPr>
      </w:pPr>
      <w:r>
        <w:t>V části 9 účastník</w:t>
      </w:r>
      <w:r w:rsidRPr="00082159">
        <w:t xml:space="preserve"> přiloží </w:t>
      </w:r>
      <w:r>
        <w:rPr>
          <w:b/>
        </w:rPr>
        <w:t xml:space="preserve">datovaný, orazítkovaný </w:t>
      </w:r>
      <w:r w:rsidRPr="00BD2F2D">
        <w:rPr>
          <w:b/>
        </w:rPr>
        <w:t>a podepsaný</w:t>
      </w:r>
      <w:r w:rsidRPr="00082159">
        <w:t xml:space="preserve"> (osobou oprávněnou jednat jménem či za </w:t>
      </w:r>
      <w:r>
        <w:t>účastníka</w:t>
      </w:r>
      <w:r w:rsidRPr="00082159">
        <w:t xml:space="preserve">) návrh </w:t>
      </w:r>
      <w:r w:rsidR="00C139D4">
        <w:t>kupní</w:t>
      </w:r>
      <w:r>
        <w:t xml:space="preserve"> </w:t>
      </w:r>
      <w:r w:rsidRPr="00082159">
        <w:t xml:space="preserve">smlouvy, </w:t>
      </w:r>
      <w:r w:rsidRPr="007F6504">
        <w:rPr>
          <w:b/>
        </w:rPr>
        <w:t xml:space="preserve">který bude obsahovat veškeré náležitosti, práva a povinnosti, jak jsou dány touto zadávací dokumentací a případně další ujednání, jež jsou běžné v obchodních případech při pořízení obdobných </w:t>
      </w:r>
      <w:r w:rsidR="00C139D4">
        <w:rPr>
          <w:b/>
        </w:rPr>
        <w:t>zařízení</w:t>
      </w:r>
      <w:r w:rsidRPr="007F6504">
        <w:rPr>
          <w:b/>
        </w:rPr>
        <w:t xml:space="preserve">, jako je předmět </w:t>
      </w:r>
      <w:r>
        <w:rPr>
          <w:b/>
        </w:rPr>
        <w:t>tohoto výběrového řízení</w:t>
      </w:r>
      <w:r w:rsidRPr="007F6504">
        <w:rPr>
          <w:b/>
        </w:rPr>
        <w:t>, a které jsou v souladu s o</w:t>
      </w:r>
      <w:r>
        <w:rPr>
          <w:b/>
        </w:rPr>
        <w:t>bčanským</w:t>
      </w:r>
      <w:r w:rsidRPr="007F6504">
        <w:rPr>
          <w:b/>
        </w:rPr>
        <w:t xml:space="preserve"> zákoníkem</w:t>
      </w:r>
      <w:r>
        <w:rPr>
          <w:b/>
        </w:rPr>
        <w:t xml:space="preserve"> v </w:t>
      </w:r>
      <w:r w:rsidRPr="002F32E6">
        <w:rPr>
          <w:b/>
        </w:rPr>
        <w:t>České republice.</w:t>
      </w:r>
      <w:r w:rsidRPr="007F6504">
        <w:rPr>
          <w:b/>
        </w:rPr>
        <w:t xml:space="preserve"> </w:t>
      </w:r>
      <w:r w:rsidRPr="00007412">
        <w:rPr>
          <w:b/>
        </w:rPr>
        <w:t>Případné doplnění stanovených podmínek nesmí omezovat či vylučovat práva zadavatele.</w:t>
      </w:r>
      <w:r>
        <w:rPr>
          <w:b/>
        </w:rPr>
        <w:t xml:space="preserve"> </w:t>
      </w:r>
      <w:r w:rsidRPr="007F6504">
        <w:rPr>
          <w:b/>
        </w:rPr>
        <w:t xml:space="preserve">Návrh </w:t>
      </w:r>
      <w:r w:rsidR="00130667">
        <w:rPr>
          <w:b/>
        </w:rPr>
        <w:t>kupní</w:t>
      </w:r>
      <w:r w:rsidRPr="007F6504">
        <w:rPr>
          <w:b/>
        </w:rPr>
        <w:t xml:space="preserve"> smlouvy musí být také v souladu s dobrými mravy.</w:t>
      </w:r>
    </w:p>
    <w:p w14:paraId="17896860" w14:textId="77777777" w:rsidR="003E6DE1" w:rsidRPr="00E93339" w:rsidRDefault="003E6DE1" w:rsidP="003E6DE1">
      <w:pPr>
        <w:pStyle w:val="Nadpis1"/>
        <w:jc w:val="both"/>
      </w:pPr>
      <w:r w:rsidRPr="00F136DE">
        <w:t>8. Hodnocení nabídek</w:t>
      </w:r>
    </w:p>
    <w:p w14:paraId="2808CF2F" w14:textId="77777777" w:rsidR="00FD0FBC" w:rsidRDefault="00FD0FBC" w:rsidP="00FD0FBC">
      <w:pPr>
        <w:pStyle w:val="Zkladntextodsazen"/>
        <w:ind w:left="0"/>
        <w:jc w:val="both"/>
        <w:rPr>
          <w:caps/>
          <w:sz w:val="22"/>
        </w:rPr>
      </w:pPr>
      <w:r w:rsidRPr="00BF1D81">
        <w:t>Kritériem hodnocení je ekonomická výhodnost nabídky.</w:t>
      </w:r>
      <w:r>
        <w:t xml:space="preserve"> Ekonomická výhodnost nabídky bude hodnocena </w:t>
      </w:r>
      <w:r w:rsidRPr="00BD1783">
        <w:t>podle nejnižší nabídkové ceny.</w:t>
      </w:r>
    </w:p>
    <w:p w14:paraId="75011510" w14:textId="77777777" w:rsidR="00FD0FBC" w:rsidRDefault="00FD0FBC" w:rsidP="00FD0FBC">
      <w:pPr>
        <w:jc w:val="both"/>
        <w:rPr>
          <w:snapToGrid w:val="0"/>
        </w:rPr>
      </w:pPr>
      <w:r>
        <w:rPr>
          <w:snapToGrid w:val="0"/>
        </w:rPr>
        <w:t xml:space="preserve">Hodnotí se nabídková cena bez DPH v CZK. Nabídková cena v EUR se pro účely hodnocení nabídek </w:t>
      </w:r>
      <w:r w:rsidRPr="00007412">
        <w:rPr>
          <w:snapToGrid w:val="0"/>
        </w:rPr>
        <w:t>přepočítáv</w:t>
      </w:r>
      <w:r>
        <w:rPr>
          <w:snapToGrid w:val="0"/>
        </w:rPr>
        <w:t>á</w:t>
      </w:r>
      <w:r w:rsidRPr="00007412">
        <w:rPr>
          <w:snapToGrid w:val="0"/>
        </w:rPr>
        <w:t xml:space="preserve"> kurzem ČNB platn</w:t>
      </w:r>
      <w:r>
        <w:rPr>
          <w:snapToGrid w:val="0"/>
        </w:rPr>
        <w:t>ým</w:t>
      </w:r>
      <w:r w:rsidRPr="00007412">
        <w:rPr>
          <w:snapToGrid w:val="0"/>
        </w:rPr>
        <w:t xml:space="preserve"> pro poslední den lhůty pro podání nabídek</w:t>
      </w:r>
      <w:r>
        <w:rPr>
          <w:snapToGrid w:val="0"/>
        </w:rPr>
        <w:t>.</w:t>
      </w:r>
    </w:p>
    <w:p w14:paraId="45920298" w14:textId="77777777" w:rsidR="00FD0FBC" w:rsidRDefault="00FD0FBC" w:rsidP="00FD0FBC">
      <w:pPr>
        <w:jc w:val="both"/>
        <w:rPr>
          <w:snapToGrid w:val="0"/>
        </w:rPr>
      </w:pPr>
    </w:p>
    <w:p w14:paraId="0D7A5DC2" w14:textId="77777777" w:rsidR="00FD0FBC" w:rsidRDefault="00FD0FBC" w:rsidP="00FD0FBC">
      <w:pPr>
        <w:rPr>
          <w:snapToGrid w:val="0"/>
        </w:rPr>
      </w:pPr>
      <w:r w:rsidRPr="00F114EE">
        <w:rPr>
          <w:snapToGrid w:val="0"/>
        </w:rPr>
        <w:t xml:space="preserve">Pokud budou při hodnocení dvě nebo více nabídek se stejnou nabídkovou cenou, rozhodne o pořadí nabídek </w:t>
      </w:r>
      <w:r>
        <w:rPr>
          <w:snapToGrid w:val="0"/>
        </w:rPr>
        <w:t>kratší doba dodání.</w:t>
      </w:r>
    </w:p>
    <w:p w14:paraId="6D9737E2" w14:textId="106FD4EE" w:rsidR="003E6DE1" w:rsidRDefault="003E6DE1" w:rsidP="00165E30">
      <w:pPr>
        <w:pStyle w:val="Nadpis1"/>
        <w:jc w:val="both"/>
      </w:pPr>
      <w:r>
        <w:t xml:space="preserve">9. </w:t>
      </w:r>
      <w:r w:rsidRPr="001049F5">
        <w:t>Lhůta a místo pro předkládání nabídky</w:t>
      </w:r>
    </w:p>
    <w:p w14:paraId="5D47DBDA" w14:textId="1B6F6D67" w:rsidR="003E6DE1" w:rsidRPr="00BC65C6" w:rsidRDefault="003E6DE1" w:rsidP="003E6DE1">
      <w:pPr>
        <w:jc w:val="both"/>
        <w:rPr>
          <w:snapToGrid w:val="0"/>
        </w:rPr>
      </w:pPr>
      <w:r>
        <w:rPr>
          <w:snapToGrid w:val="0"/>
        </w:rPr>
        <w:t xml:space="preserve">Lhůta pro podání </w:t>
      </w:r>
      <w:r w:rsidRPr="00BC65C6">
        <w:rPr>
          <w:snapToGrid w:val="0"/>
        </w:rPr>
        <w:t xml:space="preserve">nabídky začíná běžet dnem následujícím po </w:t>
      </w:r>
      <w:r w:rsidR="00F114EE" w:rsidRPr="00BC65C6">
        <w:rPr>
          <w:snapToGrid w:val="0"/>
        </w:rPr>
        <w:t>zveřejnění oznámení</w:t>
      </w:r>
      <w:r w:rsidRPr="00BC65C6">
        <w:rPr>
          <w:snapToGrid w:val="0"/>
        </w:rPr>
        <w:t xml:space="preserve"> </w:t>
      </w:r>
      <w:r w:rsidR="00F114EE" w:rsidRPr="00BC65C6">
        <w:rPr>
          <w:snapToGrid w:val="0"/>
        </w:rPr>
        <w:t>na profilu zadavatele</w:t>
      </w:r>
      <w:r w:rsidRPr="00BC65C6">
        <w:rPr>
          <w:snapToGrid w:val="0"/>
        </w:rPr>
        <w:t xml:space="preserve"> a končí </w:t>
      </w:r>
      <w:r w:rsidRPr="009D32AC">
        <w:rPr>
          <w:snapToGrid w:val="0"/>
        </w:rPr>
        <w:t xml:space="preserve">dnem </w:t>
      </w:r>
      <w:proofErr w:type="gramStart"/>
      <w:r w:rsidR="0048416B">
        <w:rPr>
          <w:b/>
          <w:bCs/>
        </w:rPr>
        <w:t>18.4</w:t>
      </w:r>
      <w:r w:rsidR="0099534D" w:rsidRPr="009D32AC">
        <w:rPr>
          <w:b/>
          <w:bCs/>
        </w:rPr>
        <w:t>.201</w:t>
      </w:r>
      <w:r w:rsidR="007B00CF" w:rsidRPr="009D32AC">
        <w:rPr>
          <w:b/>
          <w:bCs/>
        </w:rPr>
        <w:t>8</w:t>
      </w:r>
      <w:proofErr w:type="gramEnd"/>
      <w:r w:rsidRPr="009D32AC">
        <w:rPr>
          <w:b/>
        </w:rPr>
        <w:t xml:space="preserve"> </w:t>
      </w:r>
      <w:r w:rsidRPr="009D32AC">
        <w:t>v </w:t>
      </w:r>
      <w:r w:rsidRPr="009D32AC">
        <w:rPr>
          <w:b/>
          <w:bCs/>
        </w:rPr>
        <w:t>9:</w:t>
      </w:r>
      <w:r w:rsidR="0048416B">
        <w:rPr>
          <w:b/>
          <w:bCs/>
        </w:rPr>
        <w:t>45</w:t>
      </w:r>
      <w:r w:rsidRPr="009D32AC">
        <w:rPr>
          <w:b/>
          <w:bCs/>
        </w:rPr>
        <w:t xml:space="preserve"> </w:t>
      </w:r>
      <w:r w:rsidRPr="009D32AC">
        <w:rPr>
          <w:snapToGrid w:val="0"/>
        </w:rPr>
        <w:t>hodin</w:t>
      </w:r>
      <w:r w:rsidRPr="00BC65C6">
        <w:rPr>
          <w:snapToGrid w:val="0"/>
        </w:rPr>
        <w:t xml:space="preserve">. Nabídky musí být do sídla zadavatele doručeny do skončení lhůty pro podání nabídek.  </w:t>
      </w:r>
    </w:p>
    <w:p w14:paraId="28CA12B0" w14:textId="77777777" w:rsidR="003E6DE1" w:rsidRPr="00BC65C6" w:rsidRDefault="003E6DE1" w:rsidP="003E6DE1">
      <w:pPr>
        <w:pStyle w:val="Zkladntextodsazen3"/>
        <w:ind w:firstLine="426"/>
        <w:jc w:val="both"/>
        <w:rPr>
          <w:snapToGrid w:val="0"/>
          <w:sz w:val="22"/>
        </w:rPr>
      </w:pPr>
    </w:p>
    <w:p w14:paraId="6B3BB144" w14:textId="77777777" w:rsidR="003E6DE1" w:rsidRPr="00BC65C6" w:rsidRDefault="003E6DE1" w:rsidP="003E6DE1">
      <w:pPr>
        <w:jc w:val="both"/>
        <w:rPr>
          <w:snapToGrid w:val="0"/>
        </w:rPr>
      </w:pPr>
      <w:r w:rsidRPr="00BC65C6">
        <w:rPr>
          <w:snapToGrid w:val="0"/>
        </w:rPr>
        <w:t xml:space="preserve">Nabídky podané po lhůtě pro podání nabídek hodnotící komise neotevírá. Zadavatel bezodkladně vyrozumí </w:t>
      </w:r>
      <w:r w:rsidR="00396B07" w:rsidRPr="00BC65C6">
        <w:rPr>
          <w:snapToGrid w:val="0"/>
        </w:rPr>
        <w:t>účastníka</w:t>
      </w:r>
      <w:r w:rsidRPr="00BC65C6">
        <w:rPr>
          <w:snapToGrid w:val="0"/>
        </w:rPr>
        <w:t xml:space="preserve"> o tom, že jeho nabídka byla podána po uplynutí lhůty pro podání nabídek.</w:t>
      </w:r>
    </w:p>
    <w:p w14:paraId="6C0C7AE8" w14:textId="77777777" w:rsidR="003E6DE1" w:rsidRPr="00BC65C6" w:rsidRDefault="003E6DE1" w:rsidP="003E6DE1">
      <w:pPr>
        <w:jc w:val="both"/>
        <w:rPr>
          <w:snapToGrid w:val="0"/>
        </w:rPr>
      </w:pPr>
    </w:p>
    <w:p w14:paraId="35D40434" w14:textId="77777777" w:rsidR="003E6DE1" w:rsidRPr="00BC65C6" w:rsidRDefault="003E6DE1" w:rsidP="003E6DE1">
      <w:pPr>
        <w:pStyle w:val="Nadpis1"/>
        <w:jc w:val="both"/>
      </w:pPr>
      <w:r w:rsidRPr="00BC65C6">
        <w:lastRenderedPageBreak/>
        <w:t>10. Datum a místo otevírání obálek</w:t>
      </w:r>
    </w:p>
    <w:p w14:paraId="21B2045A" w14:textId="4662A415" w:rsidR="003E6DE1" w:rsidRDefault="003E6DE1" w:rsidP="003E6DE1">
      <w:pPr>
        <w:jc w:val="both"/>
      </w:pPr>
      <w:r w:rsidRPr="00BC65C6">
        <w:t xml:space="preserve">Otevírání obálek s nabídkami se </w:t>
      </w:r>
      <w:r w:rsidRPr="009D32AC">
        <w:t xml:space="preserve">uskuteční dne </w:t>
      </w:r>
      <w:proofErr w:type="gramStart"/>
      <w:r w:rsidR="0048416B">
        <w:rPr>
          <w:b/>
        </w:rPr>
        <w:t>18.4</w:t>
      </w:r>
      <w:r w:rsidR="0099534D" w:rsidRPr="009D32AC">
        <w:rPr>
          <w:b/>
        </w:rPr>
        <w:t>.201</w:t>
      </w:r>
      <w:r w:rsidR="007B00CF" w:rsidRPr="009D32AC">
        <w:rPr>
          <w:b/>
        </w:rPr>
        <w:t>8</w:t>
      </w:r>
      <w:proofErr w:type="gramEnd"/>
      <w:r w:rsidRPr="009D32AC">
        <w:t xml:space="preserve"> v </w:t>
      </w:r>
      <w:r w:rsidRPr="009D32AC">
        <w:rPr>
          <w:b/>
        </w:rPr>
        <w:t>9:</w:t>
      </w:r>
      <w:r w:rsidR="0048416B">
        <w:rPr>
          <w:b/>
        </w:rPr>
        <w:t>45</w:t>
      </w:r>
      <w:r w:rsidRPr="009D32AC">
        <w:t xml:space="preserve"> hodin v sídle zadavatele. </w:t>
      </w:r>
      <w:r w:rsidR="00396B07" w:rsidRPr="009D32AC">
        <w:t>Otevírání obálek se může zúčastnit za každého účastníka jedna osoba</w:t>
      </w:r>
      <w:r w:rsidR="00396B07" w:rsidRPr="00BC65C6">
        <w:t>. Přítomní účastníci stvrdí svou účast při otevírání obálek podpisem v listině přítomných účastníků</w:t>
      </w:r>
      <w:r w:rsidR="00396B07" w:rsidRPr="0061311D">
        <w:t>.</w:t>
      </w:r>
      <w:bookmarkStart w:id="0" w:name="_GoBack"/>
      <w:bookmarkEnd w:id="0"/>
    </w:p>
    <w:p w14:paraId="455DB2C8" w14:textId="77777777" w:rsidR="003E6DE1" w:rsidRDefault="003E6DE1" w:rsidP="003E6DE1">
      <w:pPr>
        <w:jc w:val="both"/>
      </w:pPr>
    </w:p>
    <w:p w14:paraId="36A08470" w14:textId="77777777" w:rsidR="003E6DE1" w:rsidRDefault="003E6DE1" w:rsidP="003E6DE1">
      <w:pPr>
        <w:pStyle w:val="Nadpis1"/>
        <w:jc w:val="both"/>
      </w:pPr>
      <w:r>
        <w:t>11. Obchodní a platební podmínky</w:t>
      </w:r>
    </w:p>
    <w:p w14:paraId="4705981A" w14:textId="02E176EC" w:rsidR="00396B07" w:rsidRDefault="00396B07" w:rsidP="00C06A7E">
      <w:pPr>
        <w:jc w:val="both"/>
        <w:rPr>
          <w:b/>
        </w:rPr>
      </w:pPr>
      <w:r w:rsidRPr="003D05B6">
        <w:rPr>
          <w:b/>
        </w:rPr>
        <w:t xml:space="preserve">Tyto obchodní a platební podmínky musí být obsaženy v návrhu </w:t>
      </w:r>
      <w:r w:rsidR="006B3CF8">
        <w:rPr>
          <w:b/>
        </w:rPr>
        <w:t>kupní</w:t>
      </w:r>
      <w:r w:rsidRPr="003D05B6">
        <w:rPr>
          <w:b/>
        </w:rPr>
        <w:t xml:space="preserve"> smlouvy </w:t>
      </w:r>
      <w:r>
        <w:rPr>
          <w:b/>
        </w:rPr>
        <w:t>účastníka, p</w:t>
      </w:r>
      <w:r w:rsidRPr="00816CBB">
        <w:rPr>
          <w:b/>
        </w:rPr>
        <w:t xml:space="preserve">řípadné </w:t>
      </w:r>
      <w:r>
        <w:rPr>
          <w:b/>
        </w:rPr>
        <w:t>jejich doplnění nesmí omezovat či vylučovat práva zadavatele</w:t>
      </w:r>
      <w:r w:rsidRPr="003D05B6">
        <w:rPr>
          <w:b/>
        </w:rPr>
        <w:t>:</w:t>
      </w:r>
    </w:p>
    <w:p w14:paraId="39BF0249" w14:textId="77777777" w:rsidR="009E7539" w:rsidRPr="00337172" w:rsidRDefault="009E7539" w:rsidP="00C06A7E">
      <w:pPr>
        <w:jc w:val="both"/>
      </w:pPr>
    </w:p>
    <w:p w14:paraId="3EF6E8BA" w14:textId="77777777" w:rsidR="006B3CF8" w:rsidRDefault="006B3CF8" w:rsidP="006B3CF8">
      <w:pPr>
        <w:jc w:val="both"/>
      </w:pPr>
      <w:r w:rsidRPr="005F6698">
        <w:t xml:space="preserve">Odběratel převezme </w:t>
      </w:r>
      <w:r>
        <w:t>předmět kupní smlouvy</w:t>
      </w:r>
      <w:r w:rsidRPr="005F6698">
        <w:t xml:space="preserve"> na základě protokolu o předání a převzetí </w:t>
      </w:r>
      <w:r>
        <w:t>zakázky.</w:t>
      </w:r>
    </w:p>
    <w:p w14:paraId="214B0AB4" w14:textId="77777777" w:rsidR="006B3CF8" w:rsidRDefault="006B3CF8" w:rsidP="006B3CF8">
      <w:pPr>
        <w:jc w:val="both"/>
      </w:pPr>
    </w:p>
    <w:p w14:paraId="56E65AC7" w14:textId="307F65AC" w:rsidR="006B3CF8" w:rsidRDefault="006B3CF8" w:rsidP="006B3CF8">
      <w:pPr>
        <w:jc w:val="both"/>
      </w:pPr>
      <w:r w:rsidRPr="0059161E">
        <w:t xml:space="preserve">Dodavatel připraví protokol o předání a převzetí zakázky ihned po dodávce, montáži, </w:t>
      </w:r>
      <w:r w:rsidRPr="00CA737E">
        <w:t xml:space="preserve">instalaci, </w:t>
      </w:r>
      <w:r w:rsidR="005D34B0">
        <w:t xml:space="preserve">zhotovení předávacích kusů, </w:t>
      </w:r>
      <w:r w:rsidRPr="007D30D5">
        <w:t>zaškolení obsluhy</w:t>
      </w:r>
      <w:r w:rsidR="009641D4" w:rsidRPr="007D30D5">
        <w:t xml:space="preserve"> rozsahu min.</w:t>
      </w:r>
      <w:r w:rsidR="00FC41B9">
        <w:t xml:space="preserve"> 2 dny</w:t>
      </w:r>
      <w:r w:rsidRPr="00F739EC">
        <w:t xml:space="preserve"> </w:t>
      </w:r>
      <w:r w:rsidR="00DC175D">
        <w:t xml:space="preserve">v místě sídla Zadavatele </w:t>
      </w:r>
      <w:r w:rsidRPr="0059161E">
        <w:t xml:space="preserve">a po úspěšném uvedení do užívání. </w:t>
      </w:r>
    </w:p>
    <w:p w14:paraId="39DC81FB" w14:textId="77777777" w:rsidR="00DC175D" w:rsidRDefault="00DC175D" w:rsidP="006B3CF8">
      <w:pPr>
        <w:jc w:val="both"/>
      </w:pPr>
    </w:p>
    <w:p w14:paraId="53A69873" w14:textId="483636D0" w:rsidR="006B3CF8" w:rsidRDefault="0078517F" w:rsidP="006B3CF8">
      <w:pPr>
        <w:jc w:val="both"/>
      </w:pPr>
      <w:r w:rsidRPr="00BE095A">
        <w:t>Součástí dokumentace (viz. Příloha č. 4) je výkres, dle kterého účastník zhotoví celkem 20 předávacích kusů a to v místě sídla zadavatele. Materiál bude na požádání poskytnut.</w:t>
      </w:r>
    </w:p>
    <w:p w14:paraId="62E1A4C0" w14:textId="77777777" w:rsidR="0078517F" w:rsidRDefault="0078517F" w:rsidP="006B3CF8">
      <w:pPr>
        <w:jc w:val="both"/>
      </w:pPr>
    </w:p>
    <w:p w14:paraId="02857FCF" w14:textId="705168E4" w:rsidR="00D313E8" w:rsidRPr="000655AB" w:rsidRDefault="00D313E8" w:rsidP="00D313E8">
      <w:pPr>
        <w:jc w:val="both"/>
      </w:pPr>
      <w:r>
        <w:t>Jako z</w:t>
      </w:r>
      <w:r w:rsidRPr="00567885">
        <w:t xml:space="preserve">ávazný termín protokolárního předání a převzetí předmětu smlouvy </w:t>
      </w:r>
      <w:r>
        <w:t>je</w:t>
      </w:r>
      <w:r w:rsidRPr="00567885">
        <w:t xml:space="preserve"> </w:t>
      </w:r>
      <w:r>
        <w:t xml:space="preserve">stanoveno </w:t>
      </w:r>
      <w:r w:rsidRPr="00567885">
        <w:t>…</w:t>
      </w:r>
      <w:proofErr w:type="gramStart"/>
      <w:r>
        <w:t>….. (</w:t>
      </w:r>
      <w:r w:rsidRPr="00567885">
        <w:rPr>
          <w:i/>
        </w:rPr>
        <w:t>dodavatel</w:t>
      </w:r>
      <w:proofErr w:type="gramEnd"/>
      <w:r w:rsidRPr="00567885">
        <w:rPr>
          <w:i/>
        </w:rPr>
        <w:t xml:space="preserve"> doplní dle harmonogramu ve své nabí</w:t>
      </w:r>
      <w:r w:rsidR="00DD10C4">
        <w:rPr>
          <w:i/>
        </w:rPr>
        <w:t>d</w:t>
      </w:r>
      <w:r w:rsidRPr="00567885">
        <w:rPr>
          <w:i/>
        </w:rPr>
        <w:t>ce</w:t>
      </w:r>
      <w:r>
        <w:t xml:space="preserve">) </w:t>
      </w:r>
      <w:r w:rsidRPr="00567885">
        <w:t>od podpisu smlouvy.</w:t>
      </w:r>
    </w:p>
    <w:p w14:paraId="5E3577C2" w14:textId="77777777" w:rsidR="006B3CF8" w:rsidRDefault="006B3CF8" w:rsidP="006B3CF8">
      <w:pPr>
        <w:jc w:val="both"/>
      </w:pPr>
    </w:p>
    <w:p w14:paraId="4A8766E9" w14:textId="38DB99B8" w:rsidR="002D0B4D" w:rsidRDefault="006B3CF8" w:rsidP="002D0B4D">
      <w:pPr>
        <w:autoSpaceDE w:val="0"/>
        <w:autoSpaceDN w:val="0"/>
        <w:adjustRightInd w:val="0"/>
        <w:jc w:val="both"/>
      </w:pPr>
      <w:r w:rsidRPr="00EA63DC">
        <w:t xml:space="preserve">Dodavatel se zavazuje, že dodá předmět </w:t>
      </w:r>
      <w:r>
        <w:t>smlouvy</w:t>
      </w:r>
      <w:r w:rsidRPr="00EA63DC">
        <w:t xml:space="preserve"> ve sjednaném termínu na základě vyrozumění </w:t>
      </w:r>
      <w:r>
        <w:t>Odběratele</w:t>
      </w:r>
      <w:r w:rsidRPr="00EA63DC">
        <w:t xml:space="preserve"> o připravenosti k instalaci stroje</w:t>
      </w:r>
      <w:r w:rsidRPr="00CD3D1F">
        <w:t>. Přesný termín dodání bude dohodnut s Dodavatelem dle připravenosti Odběratele k převzetí předmětu smlouvy</w:t>
      </w:r>
      <w:r>
        <w:t xml:space="preserve">. </w:t>
      </w:r>
      <w:r w:rsidRPr="00EA63DC">
        <w:t xml:space="preserve">Způsob dodání </w:t>
      </w:r>
      <w:r w:rsidRPr="00390692">
        <w:t xml:space="preserve">bude </w:t>
      </w:r>
      <w:r w:rsidRPr="00DD10C4">
        <w:t>DAP provozovna Odběratele dle INCOTERMS 2010. (Doprava bude provedena spediční firmou dle výběru Dodavatele a na náklady Dodavatele. Přepravní pojištění zajišťuje po dobu trvání odpovědnosti Dodavatel na své náklady).</w:t>
      </w:r>
      <w:r w:rsidR="002D0B4D" w:rsidRPr="00DD10C4">
        <w:t xml:space="preserve"> </w:t>
      </w:r>
    </w:p>
    <w:p w14:paraId="68CD0231" w14:textId="77777777" w:rsidR="00FD0FBC" w:rsidRDefault="00FD0FBC" w:rsidP="002D0B4D">
      <w:pPr>
        <w:autoSpaceDE w:val="0"/>
        <w:autoSpaceDN w:val="0"/>
        <w:adjustRightInd w:val="0"/>
        <w:jc w:val="both"/>
      </w:pPr>
    </w:p>
    <w:p w14:paraId="78782245" w14:textId="77777777" w:rsidR="00FD0FBC" w:rsidRDefault="00FD0FBC" w:rsidP="00FD0FBC">
      <w:pPr>
        <w:autoSpaceDE w:val="0"/>
        <w:autoSpaceDN w:val="0"/>
        <w:adjustRightInd w:val="0"/>
        <w:jc w:val="both"/>
      </w:pPr>
      <w:r w:rsidRPr="00855899">
        <w:t>Vyložení a umístění zařízení na pracoviště zorganizuje a provede Odběratel na své vlastní náklady za součinnosti Dodavatele a v souladu s jeho pokyny.</w:t>
      </w:r>
    </w:p>
    <w:p w14:paraId="2A6A4936" w14:textId="77777777" w:rsidR="002D0B4D" w:rsidRDefault="002D0B4D" w:rsidP="006B3CF8">
      <w:pPr>
        <w:autoSpaceDE w:val="0"/>
        <w:autoSpaceDN w:val="0"/>
        <w:adjustRightInd w:val="0"/>
        <w:jc w:val="both"/>
      </w:pPr>
    </w:p>
    <w:p w14:paraId="1BA4344E" w14:textId="77777777" w:rsidR="006B3CF8" w:rsidRPr="004A387A" w:rsidRDefault="006B3CF8" w:rsidP="006B3CF8">
      <w:pPr>
        <w:jc w:val="both"/>
      </w:pPr>
      <w:r>
        <w:t>Odběratel</w:t>
      </w:r>
      <w:r w:rsidRPr="004A387A">
        <w:t xml:space="preserve"> se stane vlastníkem předmětu dodávky dnem úplného zaplacení kupní ceny.  </w:t>
      </w:r>
    </w:p>
    <w:p w14:paraId="0577420C" w14:textId="77777777" w:rsidR="006B3CF8" w:rsidRDefault="006B3CF8" w:rsidP="006B3CF8">
      <w:pPr>
        <w:jc w:val="both"/>
      </w:pPr>
    </w:p>
    <w:p w14:paraId="4B2D7231" w14:textId="77777777" w:rsidR="006B3CF8" w:rsidRPr="002F166B" w:rsidRDefault="006B3CF8" w:rsidP="006B3CF8">
      <w:pPr>
        <w:autoSpaceDE w:val="0"/>
        <w:autoSpaceDN w:val="0"/>
        <w:adjustRightInd w:val="0"/>
        <w:jc w:val="both"/>
        <w:rPr>
          <w:color w:val="FF0000"/>
        </w:rPr>
      </w:pPr>
      <w:r w:rsidRPr="00BF429A">
        <w:t xml:space="preserve">Dojde-li k nedodržení termínu </w:t>
      </w:r>
      <w:r>
        <w:t>předání předmětu uvedeného ve smlouvě</w:t>
      </w:r>
      <w:r w:rsidRPr="00BF429A">
        <w:t xml:space="preserve">, bude za každý den </w:t>
      </w:r>
      <w:r w:rsidRPr="00E752DF">
        <w:t xml:space="preserve">prodlení účtováno penále ve výši </w:t>
      </w:r>
      <w:r>
        <w:t>0,05</w:t>
      </w:r>
      <w:r w:rsidRPr="00E752DF">
        <w:t xml:space="preserve"> % celkové ceny zakázky.</w:t>
      </w:r>
      <w:r w:rsidRPr="00BF429A">
        <w:t xml:space="preserve"> Tím nejsou dotčeny nároky </w:t>
      </w:r>
      <w:r>
        <w:t>Odběratele</w:t>
      </w:r>
      <w:r w:rsidRPr="00BF429A">
        <w:t xml:space="preserve"> na úhradu škod a vícenákladů způsobených zpožděním </w:t>
      </w:r>
      <w:r>
        <w:t>dodávky</w:t>
      </w:r>
      <w:r w:rsidRPr="00BF429A">
        <w:t>.</w:t>
      </w:r>
    </w:p>
    <w:p w14:paraId="2982A59B" w14:textId="77777777" w:rsidR="006B3CF8" w:rsidRPr="00CB52EB" w:rsidRDefault="006B3CF8" w:rsidP="006B3CF8">
      <w:pPr>
        <w:autoSpaceDE w:val="0"/>
        <w:autoSpaceDN w:val="0"/>
        <w:adjustRightInd w:val="0"/>
        <w:jc w:val="both"/>
      </w:pPr>
    </w:p>
    <w:p w14:paraId="1418030D" w14:textId="522F6CE3" w:rsidR="006B3CF8" w:rsidRDefault="006B3CF8" w:rsidP="006B3CF8">
      <w:pPr>
        <w:autoSpaceDE w:val="0"/>
        <w:autoSpaceDN w:val="0"/>
        <w:adjustRightInd w:val="0"/>
        <w:jc w:val="both"/>
      </w:pPr>
      <w:r>
        <w:t>Dodavatel</w:t>
      </w:r>
      <w:r w:rsidRPr="00CB52EB">
        <w:t xml:space="preserve"> je povinen předat </w:t>
      </w:r>
      <w:r>
        <w:t>odběrateli</w:t>
      </w:r>
      <w:r w:rsidRPr="00CB52EB">
        <w:t xml:space="preserve"> současně </w:t>
      </w:r>
      <w:r>
        <w:t>s předmětem smlouvy</w:t>
      </w:r>
      <w:r w:rsidRPr="00CB52EB">
        <w:t xml:space="preserve"> veškeré</w:t>
      </w:r>
      <w:r>
        <w:t xml:space="preserve"> </w:t>
      </w:r>
      <w:r w:rsidRPr="00CB52EB">
        <w:t xml:space="preserve">doklady a technickou dokumentaci vztahující se </w:t>
      </w:r>
      <w:r w:rsidRPr="00014E62">
        <w:t xml:space="preserve">k předmětu </w:t>
      </w:r>
      <w:r>
        <w:t>smlouvy</w:t>
      </w:r>
      <w:r w:rsidRPr="00CB52EB">
        <w:t xml:space="preserve"> (zejména návod</w:t>
      </w:r>
      <w:r>
        <w:t xml:space="preserve"> </w:t>
      </w:r>
      <w:r w:rsidRPr="00CB52EB">
        <w:t xml:space="preserve">k </w:t>
      </w:r>
      <w:r>
        <w:t xml:space="preserve">obsluze, schémata pro zapojení, technické listy </w:t>
      </w:r>
      <w:r w:rsidRPr="00B560E3">
        <w:t>apod</w:t>
      </w:r>
      <w:r w:rsidRPr="005169D5">
        <w:t>.), a to v českém vyhotovení.</w:t>
      </w:r>
      <w:r>
        <w:t xml:space="preserve"> </w:t>
      </w:r>
    </w:p>
    <w:p w14:paraId="7839D818" w14:textId="77777777" w:rsidR="006B3CF8" w:rsidRDefault="006B3CF8" w:rsidP="006B3CF8">
      <w:pPr>
        <w:autoSpaceDE w:val="0"/>
        <w:autoSpaceDN w:val="0"/>
        <w:adjustRightInd w:val="0"/>
        <w:jc w:val="both"/>
      </w:pPr>
    </w:p>
    <w:p w14:paraId="0B1A0195" w14:textId="77777777" w:rsidR="00FD0FBC" w:rsidRDefault="00FD0FBC" w:rsidP="00FD0FBC">
      <w:pPr>
        <w:autoSpaceDE w:val="0"/>
        <w:autoSpaceDN w:val="0"/>
        <w:adjustRightInd w:val="0"/>
        <w:jc w:val="both"/>
      </w:pPr>
      <w:r w:rsidRPr="00F136DE">
        <w:t xml:space="preserve">Dodavatel garantuje servisní reakci do 48 hodin (potvrzení od nahlášení závady) a servisní zásah v pracovní dny v místě sídla zadavatele do 72 hodin od telefonického nebo elektronického nahlášení poruchy v rámci záručního i pozáručního servisu, a to v případě, že je předmět </w:t>
      </w:r>
      <w:r w:rsidRPr="00F136DE">
        <w:lastRenderedPageBreak/>
        <w:t>smlouvy mimo provoz. V případě nesplnění tohoto ustanovení je po dobu záruční doby Dodavatel servisních prací povinen zaplatit smluvní pokutu ve výši 10.000,- Kč za každý takový případ.</w:t>
      </w:r>
    </w:p>
    <w:p w14:paraId="28A43FBE" w14:textId="77777777" w:rsidR="006B3CF8" w:rsidRDefault="006B3CF8" w:rsidP="006B3CF8">
      <w:pPr>
        <w:autoSpaceDE w:val="0"/>
        <w:autoSpaceDN w:val="0"/>
        <w:adjustRightInd w:val="0"/>
        <w:jc w:val="both"/>
      </w:pPr>
    </w:p>
    <w:p w14:paraId="402E1E43" w14:textId="77777777" w:rsidR="006B3CF8" w:rsidRDefault="006B3CF8" w:rsidP="006B3CF8">
      <w:pPr>
        <w:autoSpaceDE w:val="0"/>
        <w:autoSpaceDN w:val="0"/>
        <w:adjustRightInd w:val="0"/>
        <w:jc w:val="both"/>
      </w:pPr>
      <w:r w:rsidRPr="00CB52EB">
        <w:t xml:space="preserve">V případě prodlení </w:t>
      </w:r>
      <w:r>
        <w:t>Odběratele</w:t>
      </w:r>
      <w:r w:rsidRPr="00CB52EB">
        <w:t xml:space="preserve"> s úhradou</w:t>
      </w:r>
      <w:r>
        <w:t xml:space="preserve"> Kupní ceny je Odběratel povinen uhradit Dodavateli</w:t>
      </w:r>
      <w:r w:rsidRPr="00CB52EB">
        <w:t xml:space="preserve"> úrok z </w:t>
      </w:r>
      <w:r w:rsidRPr="00E752DF">
        <w:t>prodlení ve výši 0,05 % z dlužné částky za každý den prodlení</w:t>
      </w:r>
      <w:r>
        <w:t>.</w:t>
      </w:r>
    </w:p>
    <w:p w14:paraId="444BB9B2" w14:textId="77777777" w:rsidR="006B3CF8" w:rsidRDefault="006B3CF8" w:rsidP="006B3CF8">
      <w:pPr>
        <w:autoSpaceDE w:val="0"/>
        <w:autoSpaceDN w:val="0"/>
        <w:adjustRightInd w:val="0"/>
        <w:jc w:val="both"/>
      </w:pPr>
    </w:p>
    <w:p w14:paraId="281FB4D6" w14:textId="77777777" w:rsidR="006B3CF8" w:rsidRPr="00CB52EB" w:rsidRDefault="006B3CF8" w:rsidP="006B3CF8">
      <w:pPr>
        <w:autoSpaceDE w:val="0"/>
        <w:autoSpaceDN w:val="0"/>
        <w:adjustRightInd w:val="0"/>
        <w:jc w:val="both"/>
      </w:pPr>
    </w:p>
    <w:p w14:paraId="6369410B" w14:textId="77777777" w:rsidR="006B3CF8" w:rsidRPr="0059161E" w:rsidRDefault="006B3CF8" w:rsidP="006B3CF8">
      <w:pPr>
        <w:autoSpaceDE w:val="0"/>
        <w:autoSpaceDN w:val="0"/>
        <w:adjustRightInd w:val="0"/>
        <w:jc w:val="both"/>
      </w:pPr>
      <w:r w:rsidRPr="00BE095A">
        <w:t>Platební podmínky:</w:t>
      </w:r>
    </w:p>
    <w:p w14:paraId="57F131E4" w14:textId="77777777" w:rsidR="006B3CF8" w:rsidRPr="0059161E" w:rsidRDefault="006B3CF8" w:rsidP="006B3CF8">
      <w:pPr>
        <w:autoSpaceDE w:val="0"/>
        <w:autoSpaceDN w:val="0"/>
        <w:adjustRightInd w:val="0"/>
        <w:jc w:val="both"/>
      </w:pPr>
    </w:p>
    <w:p w14:paraId="06105657" w14:textId="77777777" w:rsidR="00FD0FBC" w:rsidRPr="0059161E" w:rsidRDefault="00FD0FBC" w:rsidP="00FD0FBC">
      <w:pPr>
        <w:autoSpaceDE w:val="0"/>
        <w:autoSpaceDN w:val="0"/>
        <w:adjustRightInd w:val="0"/>
        <w:jc w:val="both"/>
      </w:pPr>
      <w:r w:rsidRPr="0059161E">
        <w:t>30 % z Kupní ceny předmětu smlouvy, včetně DPH v zákonné výši, bude uhrazeno na základě zálohové faktury, která bude vystavena na základě podpisu smlouvy Odběratelem. Faktura bude splatná do 14 dnů od data jejího prokazatelného doručení do sídla Odběratele.</w:t>
      </w:r>
    </w:p>
    <w:p w14:paraId="3BCD02BA" w14:textId="77777777" w:rsidR="00FD0FBC" w:rsidRPr="0059161E" w:rsidRDefault="00FD0FBC" w:rsidP="00FD0FBC">
      <w:pPr>
        <w:autoSpaceDE w:val="0"/>
        <w:autoSpaceDN w:val="0"/>
        <w:adjustRightInd w:val="0"/>
        <w:jc w:val="both"/>
      </w:pPr>
    </w:p>
    <w:p w14:paraId="42EE649B" w14:textId="46015EF0" w:rsidR="00FD0FBC" w:rsidRPr="0059161E" w:rsidRDefault="00FD0FBC" w:rsidP="00FD0FBC">
      <w:pPr>
        <w:autoSpaceDE w:val="0"/>
        <w:autoSpaceDN w:val="0"/>
        <w:adjustRightInd w:val="0"/>
        <w:jc w:val="both"/>
      </w:pPr>
      <w:r>
        <w:t>6</w:t>
      </w:r>
      <w:r w:rsidRPr="0059161E">
        <w:t>0 % z Kupní ceny předmětu smlouvy, včetně DPH v zákonné výši, bude uhrazeno na základě zálohové faktury, která bude vystaven</w:t>
      </w:r>
      <w:r w:rsidR="009D32AC">
        <w:t xml:space="preserve">a před dodáním předmětu smlouvy </w:t>
      </w:r>
      <w:r w:rsidRPr="0059161E">
        <w:t>spolu s avízem o připravenosti k expedici z výrobního závodu Dodavatele. Faktura bude splatná do 7 dnů od data jejího prokazatelného doručení do sídla Odběratele.  Předmět smlouvy bude expedován ze závodu Dodavatele po připsání platby za zálohovou fakturu na účet Dodavatele. Odběratel má právo určit přesný termín dodání s ohledem na připravenost k instalaci p</w:t>
      </w:r>
      <w:r>
        <w:t>ředmětu smlouvy v místě plnění.</w:t>
      </w:r>
    </w:p>
    <w:p w14:paraId="4E967064" w14:textId="77777777" w:rsidR="00FD0FBC" w:rsidRPr="0059161E" w:rsidRDefault="00FD0FBC" w:rsidP="00FD0FBC">
      <w:pPr>
        <w:autoSpaceDE w:val="0"/>
        <w:autoSpaceDN w:val="0"/>
        <w:adjustRightInd w:val="0"/>
        <w:jc w:val="both"/>
      </w:pPr>
    </w:p>
    <w:p w14:paraId="7C627D3F" w14:textId="77777777" w:rsidR="00FD0FBC" w:rsidRPr="0059161E" w:rsidRDefault="00FD0FBC" w:rsidP="00FD0FBC">
      <w:pPr>
        <w:autoSpaceDE w:val="0"/>
        <w:autoSpaceDN w:val="0"/>
        <w:adjustRightInd w:val="0"/>
        <w:jc w:val="both"/>
      </w:pPr>
      <w:r>
        <w:t>1</w:t>
      </w:r>
      <w:r w:rsidRPr="0059161E">
        <w:t>0 % z Kupní ceny předmětu smlouvy, včetně DPH v zákonné výši, bude uhrazeno na základě faktury – daňového dokladu. Faktura bude vystavena do 3 dnů od podpisu předávacího protokolu. Splatnost daňového dokladu bude 30 dnů od vystavení faktury a faktura musí být prokazatelně doručena do sídla Odběratele.</w:t>
      </w:r>
    </w:p>
    <w:p w14:paraId="46C1A48C" w14:textId="77777777" w:rsidR="006B3CF8" w:rsidRDefault="006B3CF8" w:rsidP="006B3CF8">
      <w:pPr>
        <w:autoSpaceDE w:val="0"/>
        <w:autoSpaceDN w:val="0"/>
        <w:adjustRightInd w:val="0"/>
        <w:jc w:val="both"/>
      </w:pPr>
    </w:p>
    <w:p w14:paraId="696BE0AE" w14:textId="77777777" w:rsidR="00FD0FBC" w:rsidRDefault="00FD0FBC" w:rsidP="006B3CF8">
      <w:pPr>
        <w:autoSpaceDE w:val="0"/>
        <w:autoSpaceDN w:val="0"/>
        <w:adjustRightInd w:val="0"/>
        <w:jc w:val="both"/>
      </w:pPr>
    </w:p>
    <w:p w14:paraId="0DD2645B" w14:textId="77777777" w:rsidR="006B3CF8" w:rsidRPr="0059161E" w:rsidRDefault="006B3CF8" w:rsidP="006B3CF8">
      <w:pPr>
        <w:autoSpaceDE w:val="0"/>
        <w:autoSpaceDN w:val="0"/>
        <w:adjustRightInd w:val="0"/>
        <w:jc w:val="both"/>
      </w:pPr>
      <w:r w:rsidRPr="0059161E">
        <w:t>Dodavatel bude Odběratele informovat o parametrech napojení a instalace předmětu smlouvy a aktivně s ním spolupracovat při přípravě místa umístění předmětu kupní smlouvy v sídle Odběratele.</w:t>
      </w:r>
    </w:p>
    <w:p w14:paraId="5B60B433" w14:textId="77777777" w:rsidR="006B3CF8" w:rsidRDefault="006B3CF8" w:rsidP="006B3CF8">
      <w:pPr>
        <w:autoSpaceDE w:val="0"/>
        <w:autoSpaceDN w:val="0"/>
        <w:adjustRightInd w:val="0"/>
        <w:jc w:val="both"/>
      </w:pPr>
    </w:p>
    <w:p w14:paraId="27EDEAC3" w14:textId="77777777" w:rsidR="006B3CF8" w:rsidRDefault="006B3CF8" w:rsidP="006B3CF8">
      <w:pPr>
        <w:jc w:val="both"/>
        <w:rPr>
          <w:snapToGrid w:val="0"/>
        </w:rPr>
      </w:pPr>
      <w:r>
        <w:rPr>
          <w:snapToGrid w:val="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6D53F355" w14:textId="77777777" w:rsidR="006B3CF8" w:rsidRPr="00F75B5A" w:rsidRDefault="006B3CF8" w:rsidP="006B3CF8">
      <w:pPr>
        <w:jc w:val="both"/>
        <w:rPr>
          <w:b/>
          <w:snapToGrid w:val="0"/>
        </w:rPr>
      </w:pPr>
      <w:r w:rsidRPr="00F75B5A">
        <w:rPr>
          <w:b/>
          <w:snapToGrid w:val="0"/>
        </w:rPr>
        <w:t>(Musí být takto uvedeno v návrhu smlouvy</w:t>
      </w:r>
      <w:r>
        <w:rPr>
          <w:b/>
          <w:snapToGrid w:val="0"/>
        </w:rPr>
        <w:t>).</w:t>
      </w:r>
    </w:p>
    <w:p w14:paraId="48AB026F" w14:textId="77777777" w:rsidR="006B3CF8" w:rsidRDefault="006B3CF8" w:rsidP="006B3CF8">
      <w:pPr>
        <w:jc w:val="both"/>
        <w:rPr>
          <w:snapToGrid w:val="0"/>
        </w:rPr>
      </w:pPr>
    </w:p>
    <w:p w14:paraId="63892E38" w14:textId="77777777" w:rsidR="006B3CF8" w:rsidRDefault="006B3CF8" w:rsidP="006B3CF8">
      <w:pPr>
        <w:jc w:val="both"/>
      </w:pPr>
    </w:p>
    <w:p w14:paraId="20BF08A4" w14:textId="77777777" w:rsidR="006B3CF8" w:rsidRDefault="006B3CF8" w:rsidP="006B3CF8">
      <w:pPr>
        <w:jc w:val="both"/>
      </w:pPr>
      <w:r>
        <w:t>Odstoupení od smlouvy ze strany Odběratele:</w:t>
      </w:r>
    </w:p>
    <w:p w14:paraId="5BBB3D70" w14:textId="77777777" w:rsidR="006B3CF8" w:rsidRDefault="006B3CF8" w:rsidP="006B3CF8">
      <w:pPr>
        <w:jc w:val="both"/>
      </w:pPr>
    </w:p>
    <w:p w14:paraId="3930E4EE" w14:textId="77777777" w:rsidR="006B3CF8" w:rsidRDefault="006B3CF8" w:rsidP="006B3CF8">
      <w:pPr>
        <w:jc w:val="both"/>
      </w:pPr>
      <w:r>
        <w:t>Odběratel je oprávněn odstoupit od smlouvy, pokud se Dodavatel z důvodů, za které neodpovídá Odběratel, dostal do prodlení s plněním v dohodnutém termínu trvajícího déle než dva měsíce.</w:t>
      </w:r>
    </w:p>
    <w:p w14:paraId="5BA4EC67" w14:textId="77777777" w:rsidR="00822C3F" w:rsidRDefault="00822C3F" w:rsidP="006B3CF8">
      <w:pPr>
        <w:jc w:val="both"/>
      </w:pPr>
    </w:p>
    <w:p w14:paraId="4DE60A2E" w14:textId="3DA3F5D4" w:rsidR="00FD0FBC" w:rsidRDefault="00FD0FBC" w:rsidP="00FD0FBC">
      <w:pPr>
        <w:jc w:val="both"/>
      </w:pPr>
      <w:r w:rsidRPr="002832FE">
        <w:t>Odběratel je oprávněn odstoupit od smlouvy</w:t>
      </w:r>
      <w:r>
        <w:t xml:space="preserve"> v případě </w:t>
      </w:r>
      <w:r w:rsidR="00A80616">
        <w:t>nesplnění parametrů zhotovených předávacích kusů v rámci konečné přejímky</w:t>
      </w:r>
      <w:r w:rsidR="003E28DD">
        <w:t xml:space="preserve"> stroje</w:t>
      </w:r>
      <w:r>
        <w:t>.</w:t>
      </w:r>
    </w:p>
    <w:p w14:paraId="23CB3FE0" w14:textId="77777777" w:rsidR="006B3CF8" w:rsidRDefault="006B3CF8" w:rsidP="006B3CF8">
      <w:pPr>
        <w:jc w:val="both"/>
      </w:pPr>
    </w:p>
    <w:p w14:paraId="475E3DCE" w14:textId="77777777" w:rsidR="006B3CF8" w:rsidRDefault="006B3CF8" w:rsidP="006B3CF8">
      <w:pPr>
        <w:jc w:val="both"/>
        <w:rPr>
          <w:u w:val="single"/>
        </w:rPr>
      </w:pPr>
      <w:r>
        <w:lastRenderedPageBreak/>
        <w:t xml:space="preserve">V případě odstoupení od smlouvy ze strany Odběratele podle bodu výše je tento povinen vrátit Dodavateli ke dni účinnosti odstoupení od smlouvy již realizované části předmětu smlouvy a příslušnou dokumentaci. Dodavatel je povinen vrátit do </w:t>
      </w:r>
      <w:proofErr w:type="gramStart"/>
      <w:r>
        <w:t>10-ti</w:t>
      </w:r>
      <w:proofErr w:type="gramEnd"/>
      <w:r>
        <w:t xml:space="preserve"> dnů Odběrateli veškeré platby spojené s touto smlouvou a uhradit veškeré náklady a škody Odběrateli vzniklé v důsledku nesplnění této smlouvy ze strany Dodavatele, a to do 10-ti dnů od doručení žádosti o náhradu škody.</w:t>
      </w:r>
    </w:p>
    <w:p w14:paraId="0575E1FB" w14:textId="77777777" w:rsidR="006B3CF8" w:rsidRPr="00662820" w:rsidRDefault="006B3CF8" w:rsidP="006B3CF8">
      <w:pPr>
        <w:jc w:val="both"/>
        <w:rPr>
          <w:u w:val="single"/>
        </w:rPr>
      </w:pPr>
    </w:p>
    <w:p w14:paraId="166AFB01" w14:textId="77777777" w:rsidR="006B3CF8" w:rsidRDefault="006B3CF8" w:rsidP="006B3CF8">
      <w:pPr>
        <w:jc w:val="both"/>
      </w:pPr>
      <w:r>
        <w:t xml:space="preserve">Odstoupení od smlouvy ze strany Dodavatele: </w:t>
      </w:r>
    </w:p>
    <w:p w14:paraId="212C1E45" w14:textId="77777777" w:rsidR="006B3CF8" w:rsidRDefault="006B3CF8" w:rsidP="006B3CF8">
      <w:pPr>
        <w:jc w:val="both"/>
      </w:pPr>
    </w:p>
    <w:p w14:paraId="34920CCB" w14:textId="77777777" w:rsidR="006B3CF8" w:rsidRPr="002F166B" w:rsidRDefault="006B3CF8" w:rsidP="006B3CF8">
      <w:pPr>
        <w:jc w:val="both"/>
        <w:rPr>
          <w:color w:val="FF0000"/>
        </w:rPr>
      </w:pPr>
      <w:r>
        <w:rPr>
          <w:color w:val="000000"/>
        </w:rPr>
        <w:t xml:space="preserve">Dodavatel je oprávněn odstoupit od smlouvy v případě, že je Odběratel v prodlení s úhradou </w:t>
      </w:r>
      <w:r w:rsidRPr="00640E2A">
        <w:rPr>
          <w:color w:val="000000"/>
        </w:rPr>
        <w:t>faktury delší než dva měsíce a</w:t>
      </w:r>
      <w:r>
        <w:rPr>
          <w:color w:val="000000"/>
        </w:rPr>
        <w:t xml:space="preserve"> toto prodlení není způsobeno neplněním podmínek smlouvy ze strany Dodavatele.</w:t>
      </w:r>
    </w:p>
    <w:p w14:paraId="62018569" w14:textId="77777777" w:rsidR="006B3CF8" w:rsidRDefault="006B3CF8" w:rsidP="006B3CF8">
      <w:pPr>
        <w:numPr>
          <w:ilvl w:val="12"/>
          <w:numId w:val="0"/>
        </w:numPr>
        <w:ind w:left="709" w:hanging="709"/>
        <w:jc w:val="both"/>
      </w:pPr>
    </w:p>
    <w:p w14:paraId="36267A00" w14:textId="5716F526" w:rsidR="00CC492A" w:rsidRPr="00D47D24" w:rsidRDefault="00CC492A" w:rsidP="00CC492A">
      <w:pPr>
        <w:jc w:val="both"/>
      </w:pPr>
      <w:r w:rsidRPr="00D47D24">
        <w:t>V případě odstoupení od smlouvy ze strany Dodavatele z důvodu uvedeného v bodě výše je Odběratel povinen uhradit Dodavateli veškeré náklady a škody vzniklé v souvislosti s odstoup</w:t>
      </w:r>
      <w:r w:rsidR="00FD0FBC">
        <w:t xml:space="preserve">ením od této smlouvy a to do </w:t>
      </w:r>
      <w:proofErr w:type="gramStart"/>
      <w:r w:rsidR="00FD0FBC">
        <w:t>10</w:t>
      </w:r>
      <w:r w:rsidRPr="00D47D24">
        <w:t>-ti</w:t>
      </w:r>
      <w:proofErr w:type="gramEnd"/>
      <w:r w:rsidRPr="00D47D24">
        <w:t xml:space="preserve"> dnů od doručení žádosti o náhradu škody.</w:t>
      </w:r>
    </w:p>
    <w:p w14:paraId="02E6A2C3" w14:textId="77777777" w:rsidR="006B3CF8" w:rsidRDefault="006B3CF8" w:rsidP="006B3CF8">
      <w:pPr>
        <w:numPr>
          <w:ilvl w:val="12"/>
          <w:numId w:val="0"/>
        </w:numPr>
        <w:ind w:left="709" w:hanging="709"/>
        <w:jc w:val="both"/>
      </w:pPr>
    </w:p>
    <w:p w14:paraId="64FEC75D" w14:textId="77777777" w:rsidR="006B3CF8" w:rsidRDefault="006B3CF8" w:rsidP="006B3CF8">
      <w:pPr>
        <w:jc w:val="both"/>
      </w:pPr>
      <w:r>
        <w:t>Každá smluvní strana vynaloží veškeré úsilí proto, aby minimalizovala vznik nákladů ve smyslu tohoto článku.</w:t>
      </w:r>
    </w:p>
    <w:p w14:paraId="1D33214B" w14:textId="77777777" w:rsidR="006B3CF8" w:rsidRDefault="006B3CF8" w:rsidP="006B3CF8">
      <w:pPr>
        <w:jc w:val="both"/>
      </w:pPr>
    </w:p>
    <w:p w14:paraId="4D90F0F1" w14:textId="77777777" w:rsidR="006B3CF8" w:rsidRDefault="006B3CF8" w:rsidP="006B3CF8">
      <w:pPr>
        <w:tabs>
          <w:tab w:val="left" w:pos="0"/>
        </w:tabs>
        <w:jc w:val="both"/>
      </w:pPr>
      <w:r>
        <w:t>Dodavatel prohlašuje, že dodávky a řešení, které tvoří předmět této smlouvy, nemají žádné patentové nebo jiné průmyslové právní nedostatky a závady, ani nepoškozují práva třetích osob.</w:t>
      </w:r>
    </w:p>
    <w:p w14:paraId="4C783E51" w14:textId="77777777" w:rsidR="006B3CF8" w:rsidRDefault="006B3CF8" w:rsidP="006B3CF8">
      <w:pPr>
        <w:tabs>
          <w:tab w:val="left" w:pos="0"/>
        </w:tabs>
        <w:jc w:val="both"/>
      </w:pPr>
    </w:p>
    <w:p w14:paraId="3BFB916D" w14:textId="77777777" w:rsidR="006B3CF8" w:rsidRDefault="006B3CF8" w:rsidP="006B3CF8">
      <w:pPr>
        <w:tabs>
          <w:tab w:val="left" w:pos="0"/>
        </w:tabs>
        <w:jc w:val="both"/>
      </w:pPr>
      <w:r>
        <w:t>Obě smluvní strany se zavazují neposkytovat a nezveřejňovat třetím osobám žádné informace, které jim byly svěřeny nebo se jim staly přístupnými na základě tohoto smluvního vztahu, případně které by mohly poškodit vzájemné vztahy obou nebo jednu ze smluvních stran, bez souhlasu druhé smluvní strany.</w:t>
      </w:r>
    </w:p>
    <w:p w14:paraId="47DB9722" w14:textId="77777777" w:rsidR="001A6D96" w:rsidRDefault="001A6D96" w:rsidP="0016306D">
      <w:pPr>
        <w:tabs>
          <w:tab w:val="left" w:pos="0"/>
        </w:tabs>
        <w:jc w:val="both"/>
      </w:pPr>
    </w:p>
    <w:p w14:paraId="2ABA1DD1" w14:textId="77777777" w:rsidR="003E6DE1" w:rsidRPr="00F41607" w:rsidRDefault="003E6DE1" w:rsidP="003E6DE1">
      <w:pPr>
        <w:pStyle w:val="Nadpis1"/>
        <w:rPr>
          <w:i/>
        </w:rPr>
      </w:pPr>
      <w:r>
        <w:t xml:space="preserve">12. </w:t>
      </w:r>
      <w:r w:rsidRPr="00F41607">
        <w:t>Náklady účasti</w:t>
      </w:r>
    </w:p>
    <w:p w14:paraId="4116A661" w14:textId="77777777" w:rsidR="003E6DE1" w:rsidRDefault="003E6DE1" w:rsidP="003E6DE1">
      <w:pPr>
        <w:jc w:val="both"/>
      </w:pPr>
      <w:r>
        <w:t xml:space="preserve">Náklady účasti si každý </w:t>
      </w:r>
      <w:r w:rsidR="00136A74">
        <w:t>účastník</w:t>
      </w:r>
      <w:r>
        <w:t xml:space="preserve"> hradí sám.</w:t>
      </w:r>
    </w:p>
    <w:p w14:paraId="1CF9ADB5" w14:textId="77777777" w:rsidR="00E41596" w:rsidRPr="006A4275" w:rsidRDefault="00E41596" w:rsidP="00E41596">
      <w:pPr>
        <w:pStyle w:val="Nadpis1"/>
        <w:rPr>
          <w:i/>
        </w:rPr>
      </w:pPr>
      <w:r w:rsidRPr="006A4275">
        <w:t>13. Poskytování informací</w:t>
      </w:r>
    </w:p>
    <w:p w14:paraId="3189C3C2" w14:textId="00E16774" w:rsidR="00E41596" w:rsidRPr="00BF1D81" w:rsidRDefault="00136A74" w:rsidP="00F1739F">
      <w:pPr>
        <w:jc w:val="both"/>
      </w:pPr>
      <w:r>
        <w:t>Účastník</w:t>
      </w:r>
      <w:r w:rsidR="00E41596" w:rsidRPr="006A4275">
        <w:t xml:space="preserve"> je oprávněn požadovat písemné vysvětlení k zadávací dokumentaci. Písemná žádost musí být zadavateli (a to kontaktní osobě zadavatele) doručena nejpozději 4 pracovní dny před uplynutím lhůty pro podání nabídek. </w:t>
      </w:r>
      <w:r>
        <w:t xml:space="preserve">Zadavatel odešle vysvětlení zadávacích podmínek, případně související dokumenty, nejpozději do 2 pracovních dnů od doručení žádosti. </w:t>
      </w:r>
      <w:r w:rsidR="00E41596" w:rsidRPr="006A4275">
        <w:t>Dodatečné informace zadavatel zveřejní na profilu zadavatele.</w:t>
      </w:r>
    </w:p>
    <w:p w14:paraId="0D27BC80" w14:textId="77777777" w:rsidR="003E6DE1" w:rsidRDefault="003E6DE1" w:rsidP="003E6DE1">
      <w:pPr>
        <w:pStyle w:val="Nadpis1"/>
        <w:rPr>
          <w:i/>
        </w:rPr>
      </w:pPr>
      <w:r>
        <w:lastRenderedPageBreak/>
        <w:t>1</w:t>
      </w:r>
      <w:r w:rsidR="00E41596">
        <w:t>4</w:t>
      </w:r>
      <w:r w:rsidRPr="00762B61">
        <w:t>. Ostatní</w:t>
      </w:r>
    </w:p>
    <w:p w14:paraId="487737DE" w14:textId="5EE9EC08" w:rsidR="00396B07" w:rsidRDefault="00396B07" w:rsidP="00396B07">
      <w:pPr>
        <w:jc w:val="both"/>
      </w:pPr>
      <w:r>
        <w:t xml:space="preserve">Zadavatel prohlašuje, že toto výběrové řízení není veřejnou obchodní soutěží ani veřejným příslibem </w:t>
      </w:r>
      <w:r w:rsidRPr="002B04D5">
        <w:t xml:space="preserve">a nejedná se o </w:t>
      </w:r>
      <w:r>
        <w:t>zadávací řízení</w:t>
      </w:r>
      <w:r w:rsidRPr="002B04D5">
        <w:t xml:space="preserve"> realizovan</w:t>
      </w:r>
      <w:r>
        <w:t>é</w:t>
      </w:r>
      <w:r w:rsidRPr="002B04D5">
        <w:t xml:space="preserve"> </w:t>
      </w:r>
      <w:r w:rsidR="00426EA2">
        <w:t>dle zákona č. 134/2016 Sb., o zadávání veřejných zakázek, ve znění pozdějších předpisů.</w:t>
      </w:r>
    </w:p>
    <w:p w14:paraId="20A7106C" w14:textId="77777777" w:rsidR="003E6DE1" w:rsidRPr="00F86371" w:rsidRDefault="003E6DE1" w:rsidP="003E6DE1">
      <w:pPr>
        <w:jc w:val="both"/>
      </w:pPr>
    </w:p>
    <w:p w14:paraId="442DD1BB" w14:textId="77777777" w:rsidR="00396B07" w:rsidRDefault="00396B07" w:rsidP="00396B07">
      <w:pPr>
        <w:jc w:val="both"/>
      </w:pPr>
      <w:r w:rsidRPr="00640E2A">
        <w:t xml:space="preserve">Vedle důvodů, kdy zadavatel výběrové řízení musí zrušit, si zadavatel vyhrazuje právo zrušit výběrové řízení kdykoliv, nejpozději však do uzavření smlouvy, pokud se v průběhu výběrového řízení vyskytly důvody zvláštního zřetele, pro které nelze na zadavateli požadovat, aby ve výběrovém řízení pokračoval, nebo vybraný </w:t>
      </w:r>
      <w:r>
        <w:t>účastník</w:t>
      </w:r>
      <w:r w:rsidRPr="00640E2A">
        <w:t xml:space="preserve">, popřípadě </w:t>
      </w:r>
      <w:r>
        <w:t>účastník</w:t>
      </w:r>
      <w:r w:rsidRPr="00640E2A">
        <w:t xml:space="preserve"> druhý v pořadí, odmítl uzavřít smlouvu nebo neposkytl zadavateli k jejímu uzavření dostatečnou součinnost.</w:t>
      </w:r>
    </w:p>
    <w:p w14:paraId="75AD155E" w14:textId="77777777" w:rsidR="00426EA2" w:rsidRDefault="00426EA2" w:rsidP="00396B07">
      <w:pPr>
        <w:jc w:val="both"/>
      </w:pPr>
    </w:p>
    <w:p w14:paraId="0C199D35" w14:textId="77777777" w:rsidR="00426EA2" w:rsidRDefault="00426EA2" w:rsidP="00337172">
      <w:pPr>
        <w:jc w:val="both"/>
      </w:pPr>
    </w:p>
    <w:p w14:paraId="4DB0AD94" w14:textId="50E83B1B" w:rsidR="00426EA2" w:rsidRDefault="00426EA2" w:rsidP="00396B07">
      <w:pPr>
        <w:jc w:val="both"/>
      </w:pPr>
    </w:p>
    <w:p w14:paraId="2CD3CC40" w14:textId="77777777" w:rsidR="003E6DE1" w:rsidRPr="00CE0F30" w:rsidRDefault="003E6DE1" w:rsidP="003E6DE1">
      <w:pPr>
        <w:pStyle w:val="Nadpis1"/>
      </w:pPr>
      <w:r w:rsidRPr="00C013B5">
        <w:t>Přílohy zadávací dokumentace:</w:t>
      </w:r>
    </w:p>
    <w:p w14:paraId="544F7A82" w14:textId="77777777" w:rsidR="003E6DE1" w:rsidRDefault="003E6DE1" w:rsidP="003E6DE1">
      <w:pPr>
        <w:jc w:val="both"/>
      </w:pPr>
      <w:r>
        <w:t>Příloha č. 1</w:t>
      </w:r>
      <w:r>
        <w:tab/>
        <w:t>Krycí list nabídky</w:t>
      </w:r>
    </w:p>
    <w:p w14:paraId="081B9D1B" w14:textId="77777777" w:rsidR="00302567" w:rsidRPr="00396B07" w:rsidRDefault="00302567" w:rsidP="00302567">
      <w:pPr>
        <w:jc w:val="both"/>
        <w:rPr>
          <w:strike/>
        </w:rPr>
      </w:pPr>
      <w:r w:rsidRPr="00CE0F30">
        <w:t>Příloha č. 2</w:t>
      </w:r>
      <w:r w:rsidRPr="00CE0F30">
        <w:tab/>
      </w:r>
      <w:r w:rsidR="00396B07" w:rsidRPr="00CE0F30">
        <w:t xml:space="preserve">Čestné prohlášení k prokázání </w:t>
      </w:r>
      <w:r w:rsidR="00396B07">
        <w:t>základní způsobilosti</w:t>
      </w:r>
    </w:p>
    <w:p w14:paraId="2666BA0D" w14:textId="51448884" w:rsidR="003E6DE1" w:rsidRDefault="003E6DE1" w:rsidP="00337172">
      <w:pPr>
        <w:tabs>
          <w:tab w:val="left" w:pos="1418"/>
        </w:tabs>
        <w:ind w:left="1418" w:hanging="1418"/>
        <w:jc w:val="both"/>
      </w:pPr>
      <w:r w:rsidRPr="00174BF0">
        <w:t xml:space="preserve">Příloha č. </w:t>
      </w:r>
      <w:r w:rsidR="00302567" w:rsidRPr="00174BF0">
        <w:t>3</w:t>
      </w:r>
      <w:r w:rsidRPr="00174BF0">
        <w:tab/>
        <w:t>Vyplněná tabulka „</w:t>
      </w:r>
      <w:r w:rsidR="00822C3F" w:rsidRPr="00822C3F">
        <w:t>Centrovací stroj pro opracování optických dílů</w:t>
      </w:r>
      <w:r w:rsidRPr="00174BF0">
        <w:t>“</w:t>
      </w:r>
    </w:p>
    <w:p w14:paraId="4D360C44" w14:textId="2D815E27" w:rsidR="00822C3F" w:rsidRDefault="00822C3F" w:rsidP="00337172">
      <w:pPr>
        <w:tabs>
          <w:tab w:val="left" w:pos="1418"/>
        </w:tabs>
        <w:ind w:left="1418" w:hanging="1418"/>
        <w:jc w:val="both"/>
      </w:pPr>
      <w:r w:rsidRPr="009D32AC">
        <w:t>Příloha č. 4</w:t>
      </w:r>
      <w:r w:rsidRPr="009D32AC">
        <w:tab/>
        <w:t>Výkresy</w:t>
      </w:r>
    </w:p>
    <w:p w14:paraId="52590A73" w14:textId="77777777" w:rsidR="00515ECE" w:rsidRPr="00C139D4" w:rsidRDefault="00515ECE" w:rsidP="003E6DE1">
      <w:pPr>
        <w:jc w:val="both"/>
      </w:pPr>
    </w:p>
    <w:p w14:paraId="4DFC42C3" w14:textId="77777777" w:rsidR="0016306D" w:rsidRPr="00C139D4" w:rsidRDefault="0016306D" w:rsidP="003E6DE1">
      <w:pPr>
        <w:jc w:val="both"/>
      </w:pPr>
    </w:p>
    <w:p w14:paraId="619A1BF6" w14:textId="77777777" w:rsidR="003E6DE1" w:rsidRDefault="003E6DE1" w:rsidP="003E6DE1">
      <w:pPr>
        <w:jc w:val="both"/>
        <w:rPr>
          <w:b/>
        </w:rPr>
      </w:pPr>
    </w:p>
    <w:p w14:paraId="702FA67F" w14:textId="55C40E1E" w:rsidR="003E6DE1" w:rsidRDefault="006A4275" w:rsidP="003E6DE1">
      <w:r w:rsidRPr="009D32AC">
        <w:t xml:space="preserve">Datum: </w:t>
      </w:r>
      <w:proofErr w:type="gramStart"/>
      <w:r w:rsidR="009D32AC">
        <w:t>8.2</w:t>
      </w:r>
      <w:r w:rsidR="00200538" w:rsidRPr="009D32AC">
        <w:t>.201</w:t>
      </w:r>
      <w:r w:rsidR="007B00CF" w:rsidRPr="009D32AC">
        <w:t>8</w:t>
      </w:r>
      <w:proofErr w:type="gramEnd"/>
    </w:p>
    <w:p w14:paraId="6F13592F" w14:textId="77777777" w:rsidR="003E6DE1" w:rsidRDefault="003E6DE1" w:rsidP="003E6DE1">
      <w:pPr>
        <w:jc w:val="right"/>
      </w:pPr>
    </w:p>
    <w:p w14:paraId="54515470" w14:textId="77777777" w:rsidR="0016306D" w:rsidRDefault="0016306D" w:rsidP="003E6DE1">
      <w:pPr>
        <w:jc w:val="right"/>
      </w:pPr>
    </w:p>
    <w:p w14:paraId="4F2129F9" w14:textId="77777777" w:rsidR="003E6DE1" w:rsidRDefault="003E6DE1" w:rsidP="003E6DE1">
      <w:pPr>
        <w:jc w:val="right"/>
      </w:pPr>
      <w:r>
        <w:t>Za zadavatele Meopta – optika, s.r.o.</w:t>
      </w:r>
    </w:p>
    <w:p w14:paraId="465414C4" w14:textId="77777777" w:rsidR="003E6DE1" w:rsidRDefault="003E6DE1" w:rsidP="003E6DE1">
      <w:pPr>
        <w:jc w:val="right"/>
      </w:pPr>
    </w:p>
    <w:p w14:paraId="22AD7ED8" w14:textId="77777777" w:rsidR="0077171B" w:rsidRDefault="0077171B" w:rsidP="003E6DE1">
      <w:pPr>
        <w:jc w:val="right"/>
      </w:pPr>
    </w:p>
    <w:p w14:paraId="31673283" w14:textId="77777777" w:rsidR="00426EA2" w:rsidRDefault="00426EA2" w:rsidP="003E6DE1">
      <w:pPr>
        <w:jc w:val="right"/>
      </w:pPr>
    </w:p>
    <w:p w14:paraId="74E7DD90" w14:textId="77777777" w:rsidR="00633E6B" w:rsidRDefault="00633E6B" w:rsidP="003E6DE1">
      <w:pPr>
        <w:jc w:val="right"/>
      </w:pPr>
    </w:p>
    <w:p w14:paraId="7E2BC6E2" w14:textId="77777777" w:rsidR="00633E6B" w:rsidRDefault="00633E6B" w:rsidP="003E6DE1">
      <w:pPr>
        <w:jc w:val="right"/>
      </w:pPr>
    </w:p>
    <w:p w14:paraId="7B7183E8" w14:textId="4ED245BF" w:rsidR="00AA1D7D" w:rsidRDefault="00FD0FBC" w:rsidP="00AA1D7D">
      <w:pPr>
        <w:jc w:val="right"/>
      </w:pPr>
      <w:r>
        <w:t>Jaromír Stiskálek</w:t>
      </w:r>
      <w:r w:rsidR="009641D4">
        <w:t xml:space="preserve"> – </w:t>
      </w:r>
      <w:r w:rsidR="000A2587">
        <w:t>junior ředitel výrobní divize optika</w:t>
      </w:r>
    </w:p>
    <w:p w14:paraId="0B3DE27C" w14:textId="77777777" w:rsidR="00633E6B" w:rsidRPr="00337172" w:rsidRDefault="00633E6B" w:rsidP="003E6DE1">
      <w:pPr>
        <w:jc w:val="right"/>
        <w:rPr>
          <w:highlight w:val="yellow"/>
        </w:rPr>
      </w:pPr>
    </w:p>
    <w:p w14:paraId="60265BC7" w14:textId="77777777" w:rsidR="00633E6B" w:rsidRPr="00337172" w:rsidRDefault="00633E6B" w:rsidP="003E6DE1">
      <w:pPr>
        <w:jc w:val="right"/>
        <w:rPr>
          <w:highlight w:val="yellow"/>
        </w:rPr>
      </w:pPr>
    </w:p>
    <w:p w14:paraId="5F09A354" w14:textId="77777777" w:rsidR="00426EA2" w:rsidRPr="009E0778" w:rsidRDefault="00426EA2" w:rsidP="003E6DE1">
      <w:pPr>
        <w:jc w:val="right"/>
        <w:rPr>
          <w:highlight w:val="yellow"/>
        </w:rPr>
      </w:pPr>
    </w:p>
    <w:p w14:paraId="3A9BCBFE" w14:textId="77777777" w:rsidR="003E6DE1" w:rsidRPr="009E0778" w:rsidRDefault="003E6DE1" w:rsidP="003E6DE1">
      <w:pPr>
        <w:jc w:val="right"/>
        <w:rPr>
          <w:highlight w:val="yellow"/>
        </w:rPr>
      </w:pPr>
    </w:p>
    <w:p w14:paraId="05ED9BEE" w14:textId="77777777" w:rsidR="0077171B" w:rsidRPr="009E0778" w:rsidRDefault="0077171B" w:rsidP="003E6DE1">
      <w:pPr>
        <w:jc w:val="right"/>
        <w:rPr>
          <w:highlight w:val="yellow"/>
        </w:rPr>
      </w:pPr>
    </w:p>
    <w:p w14:paraId="0783A5F9" w14:textId="73504F53" w:rsidR="003E6DE1" w:rsidRDefault="00426EA2" w:rsidP="003E6DE1">
      <w:pPr>
        <w:jc w:val="right"/>
      </w:pPr>
      <w:r>
        <w:rPr>
          <w:rStyle w:val="Podtitul1"/>
        </w:rPr>
        <w:t>Aneta</w:t>
      </w:r>
      <w:r>
        <w:t xml:space="preserve"> </w:t>
      </w:r>
      <w:r w:rsidR="006A4020">
        <w:rPr>
          <w:rStyle w:val="Podtitul1"/>
        </w:rPr>
        <w:t>Praskačová</w:t>
      </w:r>
      <w:r>
        <w:rPr>
          <w:rStyle w:val="Podtitul1"/>
        </w:rPr>
        <w:t xml:space="preserve"> </w:t>
      </w:r>
      <w:r w:rsidR="009641D4">
        <w:t>– p</w:t>
      </w:r>
      <w:r w:rsidR="006A4020">
        <w:t>rávní asistent</w:t>
      </w:r>
    </w:p>
    <w:p w14:paraId="6082F0E3" w14:textId="77777777" w:rsidR="003E6DE1" w:rsidRDefault="003E6DE1" w:rsidP="003E6DE1">
      <w:pPr>
        <w:jc w:val="right"/>
      </w:pPr>
    </w:p>
    <w:p w14:paraId="1A600D7B" w14:textId="77777777" w:rsidR="003E6DE1" w:rsidRDefault="003E6DE1" w:rsidP="003E6DE1">
      <w:pPr>
        <w:jc w:val="right"/>
      </w:pPr>
    </w:p>
    <w:p w14:paraId="71F1F96D" w14:textId="77777777" w:rsidR="0077171B" w:rsidRDefault="0077171B" w:rsidP="003E6DE1">
      <w:pPr>
        <w:jc w:val="right"/>
      </w:pPr>
    </w:p>
    <w:p w14:paraId="6AFAD151" w14:textId="77777777" w:rsidR="00633E6B" w:rsidRDefault="00633E6B" w:rsidP="003E6DE1">
      <w:pPr>
        <w:jc w:val="right"/>
      </w:pPr>
    </w:p>
    <w:p w14:paraId="0FCBC242" w14:textId="77777777" w:rsidR="00426EA2" w:rsidRDefault="00426EA2" w:rsidP="003E6DE1">
      <w:pPr>
        <w:jc w:val="right"/>
      </w:pPr>
    </w:p>
    <w:p w14:paraId="333D010B" w14:textId="1B272A1B" w:rsidR="00464275" w:rsidRPr="003E6DE1" w:rsidRDefault="00BE4671" w:rsidP="00767F64">
      <w:pPr>
        <w:jc w:val="right"/>
      </w:pPr>
      <w:r>
        <w:t>Ing. Vítězslav Moťka –</w:t>
      </w:r>
      <w:r w:rsidR="003E6DE1">
        <w:t xml:space="preserve"> jednatel</w:t>
      </w:r>
    </w:p>
    <w:sectPr w:rsidR="00464275" w:rsidRPr="003E6D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0DD78" w14:textId="77777777" w:rsidR="00C139D4" w:rsidRDefault="00C139D4">
      <w:r>
        <w:separator/>
      </w:r>
    </w:p>
  </w:endnote>
  <w:endnote w:type="continuationSeparator" w:id="0">
    <w:p w14:paraId="7B298564" w14:textId="77777777" w:rsidR="00C139D4" w:rsidRDefault="00C139D4">
      <w:r>
        <w:continuationSeparator/>
      </w:r>
    </w:p>
  </w:endnote>
  <w:endnote w:type="continuationNotice" w:id="1">
    <w:p w14:paraId="1EB79857" w14:textId="77777777" w:rsidR="00C139D4" w:rsidRDefault="00C13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1CF0" w14:textId="77777777" w:rsidR="00D313E8" w:rsidRDefault="00D313E8" w:rsidP="004C2B69">
    <w:pPr>
      <w:pStyle w:val="Zpat"/>
      <w:jc w:val="center"/>
    </w:pPr>
    <w:r>
      <w:rPr>
        <w:rStyle w:val="slostrnky"/>
      </w:rPr>
      <w:fldChar w:fldCharType="begin"/>
    </w:r>
    <w:r>
      <w:rPr>
        <w:rStyle w:val="slostrnky"/>
      </w:rPr>
      <w:instrText xml:space="preserve"> PAGE </w:instrText>
    </w:r>
    <w:r>
      <w:rPr>
        <w:rStyle w:val="slostrnky"/>
      </w:rPr>
      <w:fldChar w:fldCharType="separate"/>
    </w:r>
    <w:r w:rsidR="0048416B">
      <w:rPr>
        <w:rStyle w:val="slostrnky"/>
        <w:noProof/>
      </w:rPr>
      <w:t>10</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91498" w14:textId="77777777" w:rsidR="00C139D4" w:rsidRDefault="00C139D4">
      <w:r>
        <w:separator/>
      </w:r>
    </w:p>
  </w:footnote>
  <w:footnote w:type="continuationSeparator" w:id="0">
    <w:p w14:paraId="192DB62B" w14:textId="77777777" w:rsidR="00C139D4" w:rsidRDefault="00C139D4">
      <w:r>
        <w:continuationSeparator/>
      </w:r>
    </w:p>
  </w:footnote>
  <w:footnote w:type="continuationNotice" w:id="1">
    <w:p w14:paraId="4030BAEA" w14:textId="77777777" w:rsidR="00C139D4" w:rsidRDefault="00C139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693"/>
    </w:tblGrid>
    <w:tr w:rsidR="00D313E8" w14:paraId="7E6A8B96" w14:textId="77777777" w:rsidTr="00337172">
      <w:trPr>
        <w:cantSplit/>
        <w:trHeight w:val="970"/>
      </w:trPr>
      <w:tc>
        <w:tcPr>
          <w:tcW w:w="6591" w:type="dxa"/>
          <w:vAlign w:val="center"/>
        </w:tcPr>
        <w:p w14:paraId="3748DA9D" w14:textId="77777777" w:rsidR="00D313E8" w:rsidRDefault="00D313E8" w:rsidP="004C2B69">
          <w:pPr>
            <w:pStyle w:val="Zhlav"/>
            <w:ind w:right="74"/>
            <w:rPr>
              <w:sz w:val="16"/>
            </w:rPr>
          </w:pPr>
        </w:p>
        <w:p w14:paraId="00F78757" w14:textId="77777777" w:rsidR="00D313E8" w:rsidRPr="00D0058E" w:rsidRDefault="00D313E8" w:rsidP="004C2B69">
          <w:pPr>
            <w:pStyle w:val="Zhlav"/>
            <w:jc w:val="center"/>
            <w:rPr>
              <w:rFonts w:ascii="Arial" w:hAnsi="Arial" w:cs="Arial"/>
              <w:b/>
              <w:caps/>
              <w:sz w:val="36"/>
              <w:szCs w:val="36"/>
            </w:rPr>
          </w:pPr>
          <w:r w:rsidRPr="00D0058E">
            <w:rPr>
              <w:rFonts w:ascii="Arial" w:hAnsi="Arial" w:cs="Arial"/>
              <w:b/>
              <w:caps/>
              <w:sz w:val="36"/>
              <w:szCs w:val="36"/>
            </w:rPr>
            <w:t>Zadávací dokumentace</w:t>
          </w:r>
        </w:p>
      </w:tc>
      <w:tc>
        <w:tcPr>
          <w:tcW w:w="2693" w:type="dxa"/>
          <w:vAlign w:val="center"/>
        </w:tcPr>
        <w:p w14:paraId="330FC0F7" w14:textId="77777777" w:rsidR="00D313E8" w:rsidRDefault="00D313E8" w:rsidP="004C2B69">
          <w:pPr>
            <w:pStyle w:val="Zhlav"/>
            <w:rPr>
              <w:rFonts w:ascii="Arial" w:hAnsi="Arial" w:cs="Arial"/>
              <w:sz w:val="16"/>
            </w:rPr>
          </w:pPr>
          <w:r>
            <w:rPr>
              <w:rFonts w:ascii="Arial" w:hAnsi="Arial" w:cs="Arial"/>
              <w:noProof/>
              <w:sz w:val="16"/>
            </w:rPr>
            <w:drawing>
              <wp:inline distT="0" distB="0" distL="0" distR="0" wp14:anchorId="624A7041" wp14:editId="5CC16400">
                <wp:extent cx="1621155" cy="50673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Z_B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6730"/>
                        </a:xfrm>
                        <a:prstGeom prst="rect">
                          <a:avLst/>
                        </a:prstGeom>
                      </pic:spPr>
                    </pic:pic>
                  </a:graphicData>
                </a:graphic>
              </wp:inline>
            </w:drawing>
          </w:r>
        </w:p>
      </w:tc>
    </w:tr>
  </w:tbl>
  <w:p w14:paraId="5879E640" w14:textId="77777777" w:rsidR="00D313E8" w:rsidRDefault="00D313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27D"/>
    <w:multiLevelType w:val="hybridMultilevel"/>
    <w:tmpl w:val="20B88CDC"/>
    <w:lvl w:ilvl="0" w:tplc="8D44CCDE">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8012A8"/>
    <w:multiLevelType w:val="hybridMultilevel"/>
    <w:tmpl w:val="B56C7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757CD8"/>
    <w:multiLevelType w:val="hybridMultilevel"/>
    <w:tmpl w:val="8FA087C4"/>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C0738"/>
    <w:multiLevelType w:val="hybridMultilevel"/>
    <w:tmpl w:val="46FEF188"/>
    <w:lvl w:ilvl="0" w:tplc="DEA884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F663AC"/>
    <w:multiLevelType w:val="hybridMultilevel"/>
    <w:tmpl w:val="EC46B97E"/>
    <w:lvl w:ilvl="0" w:tplc="C60C61FE">
      <w:start w:val="1"/>
      <w:numFmt w:val="lowerLetter"/>
      <w:lvlText w:val="%1)"/>
      <w:lvlJc w:val="left"/>
      <w:pPr>
        <w:ind w:left="1080" w:hanging="360"/>
      </w:pPr>
      <w:rPr>
        <w:rFonts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FB07DF8"/>
    <w:multiLevelType w:val="hybridMultilevel"/>
    <w:tmpl w:val="A31627EA"/>
    <w:lvl w:ilvl="0" w:tplc="04050015">
      <w:start w:val="1"/>
      <w:numFmt w:val="upperLetter"/>
      <w:lvlText w:val="%1."/>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0D7FC5"/>
    <w:multiLevelType w:val="hybridMultilevel"/>
    <w:tmpl w:val="7A904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72235E"/>
    <w:multiLevelType w:val="hybridMultilevel"/>
    <w:tmpl w:val="7AD6C73E"/>
    <w:lvl w:ilvl="0" w:tplc="3F120F4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ED588C"/>
    <w:multiLevelType w:val="hybridMultilevel"/>
    <w:tmpl w:val="3384C1B2"/>
    <w:lvl w:ilvl="0" w:tplc="38BCFE7A">
      <w:start w:val="5"/>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BC614A"/>
    <w:multiLevelType w:val="hybridMultilevel"/>
    <w:tmpl w:val="01A804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17932A1B"/>
    <w:multiLevelType w:val="hybridMultilevel"/>
    <w:tmpl w:val="2132B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AF2532"/>
    <w:multiLevelType w:val="multilevel"/>
    <w:tmpl w:val="AD3454CC"/>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E501308"/>
    <w:multiLevelType w:val="multilevel"/>
    <w:tmpl w:val="B4CC8208"/>
    <w:styleLink w:val="NSLListe"/>
    <w:lvl w:ilvl="0">
      <w:start w:val="1"/>
      <w:numFmt w:val="decimal"/>
      <w:lvlText w:val="%1."/>
      <w:lvlJc w:val="left"/>
      <w:pPr>
        <w:tabs>
          <w:tab w:val="num" w:pos="567"/>
        </w:tabs>
        <w:ind w:left="567" w:hanging="567"/>
      </w:pPr>
      <w:rPr>
        <w:b w:val="0"/>
        <w:i w:val="0"/>
        <w:sz w:val="22"/>
        <w:szCs w:val="24"/>
      </w:rPr>
    </w:lvl>
    <w:lvl w:ilvl="1">
      <w:start w:val="1"/>
      <w:numFmt w:val="decimal"/>
      <w:lvlText w:val="%1.%2"/>
      <w:lvlJc w:val="left"/>
      <w:pPr>
        <w:tabs>
          <w:tab w:val="num" w:pos="567"/>
        </w:tabs>
        <w:ind w:left="567" w:hanging="567"/>
      </w:pPr>
      <w:rPr>
        <w:b w:val="0"/>
        <w:i w:val="0"/>
        <w:sz w:val="21"/>
        <w:szCs w:val="24"/>
      </w:rPr>
    </w:lvl>
    <w:lvl w:ilvl="2">
      <w:start w:val="1"/>
      <w:numFmt w:val="lowerLetter"/>
      <w:lvlText w:val="(%3)"/>
      <w:lvlJc w:val="left"/>
      <w:pPr>
        <w:tabs>
          <w:tab w:val="num" w:pos="567"/>
        </w:tabs>
        <w:ind w:left="567" w:hanging="567"/>
      </w:pPr>
      <w:rPr>
        <w:b w:val="0"/>
        <w:i w:val="0"/>
        <w:sz w:val="22"/>
        <w:szCs w:val="22"/>
      </w:rPr>
    </w:lvl>
    <w:lvl w:ilvl="3">
      <w:start w:val="1"/>
      <w:numFmt w:val="upperLetter"/>
      <w:lvlText w:val="(%4)"/>
      <w:lvlJc w:val="left"/>
      <w:pPr>
        <w:tabs>
          <w:tab w:val="num" w:pos="567"/>
        </w:tabs>
        <w:ind w:left="567" w:hanging="567"/>
      </w:pPr>
      <w:rPr>
        <w:b w:val="0"/>
        <w:i w:val="0"/>
        <w:sz w:val="24"/>
        <w:szCs w:val="24"/>
      </w:rPr>
    </w:lvl>
    <w:lvl w:ilvl="4">
      <w:start w:val="1"/>
      <w:numFmt w:val="lowerRoman"/>
      <w:lvlText w:val="(%5)"/>
      <w:lvlJc w:val="left"/>
      <w:pPr>
        <w:tabs>
          <w:tab w:val="num" w:pos="567"/>
        </w:tabs>
        <w:ind w:left="567" w:hanging="567"/>
      </w:pPr>
      <w:rPr>
        <w:b w:val="0"/>
        <w:i w:val="0"/>
        <w:sz w:val="24"/>
        <w:szCs w:val="24"/>
      </w:rPr>
    </w:lvl>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13" w15:restartNumberingAfterBreak="0">
    <w:nsid w:val="22611685"/>
    <w:multiLevelType w:val="hybridMultilevel"/>
    <w:tmpl w:val="C712A8B4"/>
    <w:lvl w:ilvl="0" w:tplc="65F83118">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4A4FCB"/>
    <w:multiLevelType w:val="hybridMultilevel"/>
    <w:tmpl w:val="6C1000A2"/>
    <w:lvl w:ilvl="0" w:tplc="8B329572">
      <w:start w:val="1"/>
      <w:numFmt w:val="lowerLetter"/>
      <w:lvlText w:val="%1)"/>
      <w:lvlJc w:val="left"/>
      <w:pPr>
        <w:ind w:left="927" w:hanging="360"/>
      </w:pPr>
      <w:rPr>
        <w:rFonts w:ascii="Times New Roman" w:hAnsi="Times New Roman" w:cs="Times New Roman"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2E0D6983"/>
    <w:multiLevelType w:val="multilevel"/>
    <w:tmpl w:val="3E6C2E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F2425E0"/>
    <w:multiLevelType w:val="hybridMultilevel"/>
    <w:tmpl w:val="FE70A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E0464A"/>
    <w:multiLevelType w:val="hybridMultilevel"/>
    <w:tmpl w:val="545496B8"/>
    <w:lvl w:ilvl="0" w:tplc="8C5AF9A2">
      <w:numFmt w:val="bullet"/>
      <w:lvlText w:val="-"/>
      <w:lvlJc w:val="left"/>
      <w:pPr>
        <w:ind w:left="1395" w:hanging="360"/>
      </w:pPr>
      <w:rPr>
        <w:rFonts w:ascii="Calibri" w:eastAsiaTheme="minorHAnsi" w:hAnsi="Calibri" w:cs="Calibri"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8" w15:restartNumberingAfterBreak="0">
    <w:nsid w:val="36D37ADA"/>
    <w:multiLevelType w:val="hybridMultilevel"/>
    <w:tmpl w:val="5B7614D4"/>
    <w:lvl w:ilvl="0" w:tplc="FF6C916C">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FB9517C"/>
    <w:multiLevelType w:val="hybridMultilevel"/>
    <w:tmpl w:val="0EBEF51E"/>
    <w:lvl w:ilvl="0" w:tplc="6A941000">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3D17CA0"/>
    <w:multiLevelType w:val="hybridMultilevel"/>
    <w:tmpl w:val="E334C8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B826A0"/>
    <w:multiLevelType w:val="hybridMultilevel"/>
    <w:tmpl w:val="F11C4F52"/>
    <w:lvl w:ilvl="0" w:tplc="3B28FA92">
      <w:start w:val="1"/>
      <w:numFmt w:val="bullet"/>
      <w:lvlText w:val=""/>
      <w:lvlJc w:val="left"/>
      <w:pPr>
        <w:tabs>
          <w:tab w:val="num" w:pos="567"/>
        </w:tabs>
        <w:ind w:left="56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A0F59"/>
    <w:multiLevelType w:val="hybridMultilevel"/>
    <w:tmpl w:val="D302776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CA94438"/>
    <w:multiLevelType w:val="hybridMultilevel"/>
    <w:tmpl w:val="A9D4C130"/>
    <w:lvl w:ilvl="0" w:tplc="9B4E93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4DE057F1"/>
    <w:multiLevelType w:val="hybridMultilevel"/>
    <w:tmpl w:val="98044538"/>
    <w:lvl w:ilvl="0" w:tplc="1A20AE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5B278F"/>
    <w:multiLevelType w:val="hybridMultilevel"/>
    <w:tmpl w:val="41C813F6"/>
    <w:lvl w:ilvl="0" w:tplc="44AE342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FC729B"/>
    <w:multiLevelType w:val="hybridMultilevel"/>
    <w:tmpl w:val="27DC79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E83AEF"/>
    <w:multiLevelType w:val="hybridMultilevel"/>
    <w:tmpl w:val="408EF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C52D43"/>
    <w:multiLevelType w:val="hybridMultilevel"/>
    <w:tmpl w:val="E1DE9D60"/>
    <w:lvl w:ilvl="0" w:tplc="EFD0ADE0">
      <w:start w:val="3"/>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67EA5270"/>
    <w:multiLevelType w:val="hybridMultilevel"/>
    <w:tmpl w:val="C9BA5AB8"/>
    <w:lvl w:ilvl="0" w:tplc="B9EC21D8">
      <w:start w:val="821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75A04030"/>
    <w:multiLevelType w:val="hybridMultilevel"/>
    <w:tmpl w:val="1A6AA040"/>
    <w:lvl w:ilvl="0" w:tplc="91BA0B2E">
      <w:start w:val="1"/>
      <w:numFmt w:val="lowerLetter"/>
      <w:lvlText w:val="%1)"/>
      <w:lvlJc w:val="left"/>
      <w:pPr>
        <w:ind w:left="927" w:hanging="360"/>
      </w:pPr>
      <w:rPr>
        <w:rFonts w:ascii="Times New Roman" w:hAnsi="Times New Roman" w:cs="Times New Roman"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5A35102"/>
    <w:multiLevelType w:val="hybridMultilevel"/>
    <w:tmpl w:val="B2B096E6"/>
    <w:lvl w:ilvl="0" w:tplc="A02E7466">
      <w:start w:val="1"/>
      <w:numFmt w:val="decimal"/>
      <w:lvlText w:val="1.%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608DE"/>
    <w:multiLevelType w:val="hybridMultilevel"/>
    <w:tmpl w:val="88DA82EE"/>
    <w:lvl w:ilvl="0" w:tplc="25B04F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1"/>
  </w:num>
  <w:num w:numId="4">
    <w:abstractNumId w:val="14"/>
  </w:num>
  <w:num w:numId="5">
    <w:abstractNumId w:val="30"/>
  </w:num>
  <w:num w:numId="6">
    <w:abstractNumId w:val="23"/>
  </w:num>
  <w:num w:numId="7">
    <w:abstractNumId w:val="13"/>
  </w:num>
  <w:num w:numId="8">
    <w:abstractNumId w:val="6"/>
  </w:num>
  <w:num w:numId="9">
    <w:abstractNumId w:val="27"/>
  </w:num>
  <w:num w:numId="10">
    <w:abstractNumId w:val="1"/>
  </w:num>
  <w:num w:numId="11">
    <w:abstractNumId w:val="28"/>
  </w:num>
  <w:num w:numId="12">
    <w:abstractNumId w:val="16"/>
  </w:num>
  <w:num w:numId="13">
    <w:abstractNumId w:val="7"/>
  </w:num>
  <w:num w:numId="14">
    <w:abstractNumId w:val="15"/>
  </w:num>
  <w:num w:numId="15">
    <w:abstractNumId w:val="21"/>
  </w:num>
  <w:num w:numId="16">
    <w:abstractNumId w:val="11"/>
  </w:num>
  <w:num w:numId="17">
    <w:abstractNumId w:val="8"/>
  </w:num>
  <w:num w:numId="18">
    <w:abstractNumId w:val="17"/>
  </w:num>
  <w:num w:numId="19">
    <w:abstractNumId w:val="25"/>
  </w:num>
  <w:num w:numId="20">
    <w:abstractNumId w:val="4"/>
  </w:num>
  <w:num w:numId="21">
    <w:abstractNumId w:val="3"/>
  </w:num>
  <w:num w:numId="22">
    <w:abstractNumId w:val="2"/>
  </w:num>
  <w:num w:numId="23">
    <w:abstractNumId w:val="0"/>
  </w:num>
  <w:num w:numId="24">
    <w:abstractNumId w:val="19"/>
  </w:num>
  <w:num w:numId="25">
    <w:abstractNumId w:val="5"/>
  </w:num>
  <w:num w:numId="26">
    <w:abstractNumId w:val="26"/>
  </w:num>
  <w:num w:numId="27">
    <w:abstractNumId w:val="18"/>
  </w:num>
  <w:num w:numId="28">
    <w:abstractNumId w:val="20"/>
  </w:num>
  <w:num w:numId="29">
    <w:abstractNumId w:val="29"/>
  </w:num>
  <w:num w:numId="30">
    <w:abstractNumId w:val="32"/>
  </w:num>
  <w:num w:numId="31">
    <w:abstractNumId w:val="9"/>
  </w:num>
  <w:num w:numId="32">
    <w:abstractNumId w:val="10"/>
  </w:num>
  <w:num w:numId="3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FF"/>
    <w:rsid w:val="0000026A"/>
    <w:rsid w:val="000007D8"/>
    <w:rsid w:val="000023E2"/>
    <w:rsid w:val="000057E7"/>
    <w:rsid w:val="00007088"/>
    <w:rsid w:val="00007412"/>
    <w:rsid w:val="00014F6F"/>
    <w:rsid w:val="0001678A"/>
    <w:rsid w:val="00016A0D"/>
    <w:rsid w:val="00020043"/>
    <w:rsid w:val="00020251"/>
    <w:rsid w:val="0002302D"/>
    <w:rsid w:val="0002341C"/>
    <w:rsid w:val="00023A8E"/>
    <w:rsid w:val="00036548"/>
    <w:rsid w:val="00061078"/>
    <w:rsid w:val="000655AB"/>
    <w:rsid w:val="0007660D"/>
    <w:rsid w:val="00082118"/>
    <w:rsid w:val="00082F82"/>
    <w:rsid w:val="00085499"/>
    <w:rsid w:val="000A2587"/>
    <w:rsid w:val="000A573D"/>
    <w:rsid w:val="000B3DF2"/>
    <w:rsid w:val="000B65D6"/>
    <w:rsid w:val="000B7C7F"/>
    <w:rsid w:val="000C32C7"/>
    <w:rsid w:val="000D3344"/>
    <w:rsid w:val="000D459D"/>
    <w:rsid w:val="000E2B50"/>
    <w:rsid w:val="000E2EB5"/>
    <w:rsid w:val="000E2F57"/>
    <w:rsid w:val="000F06D3"/>
    <w:rsid w:val="000F4015"/>
    <w:rsid w:val="000F413B"/>
    <w:rsid w:val="000F4EB7"/>
    <w:rsid w:val="00105FC3"/>
    <w:rsid w:val="00106F9B"/>
    <w:rsid w:val="00111E07"/>
    <w:rsid w:val="00112700"/>
    <w:rsid w:val="001249FD"/>
    <w:rsid w:val="00127D23"/>
    <w:rsid w:val="001303BE"/>
    <w:rsid w:val="00130667"/>
    <w:rsid w:val="00130DFC"/>
    <w:rsid w:val="00131CAD"/>
    <w:rsid w:val="00136A74"/>
    <w:rsid w:val="00140964"/>
    <w:rsid w:val="00153843"/>
    <w:rsid w:val="00153DBC"/>
    <w:rsid w:val="001558D3"/>
    <w:rsid w:val="00162CCA"/>
    <w:rsid w:val="0016306D"/>
    <w:rsid w:val="00164178"/>
    <w:rsid w:val="00164669"/>
    <w:rsid w:val="00165E30"/>
    <w:rsid w:val="001736BF"/>
    <w:rsid w:val="00174BF0"/>
    <w:rsid w:val="00174DCB"/>
    <w:rsid w:val="00177954"/>
    <w:rsid w:val="00180DFF"/>
    <w:rsid w:val="00181D76"/>
    <w:rsid w:val="00183A6D"/>
    <w:rsid w:val="00197DEB"/>
    <w:rsid w:val="001A4F8A"/>
    <w:rsid w:val="001A6D96"/>
    <w:rsid w:val="001B192A"/>
    <w:rsid w:val="001C61CE"/>
    <w:rsid w:val="001D37EB"/>
    <w:rsid w:val="001D621B"/>
    <w:rsid w:val="001D766C"/>
    <w:rsid w:val="001E1A5F"/>
    <w:rsid w:val="001E2F46"/>
    <w:rsid w:val="001E6A59"/>
    <w:rsid w:val="001E7E70"/>
    <w:rsid w:val="001F10F1"/>
    <w:rsid w:val="001F2BE1"/>
    <w:rsid w:val="00200307"/>
    <w:rsid w:val="00200315"/>
    <w:rsid w:val="00200538"/>
    <w:rsid w:val="00200BB5"/>
    <w:rsid w:val="00201451"/>
    <w:rsid w:val="002028F4"/>
    <w:rsid w:val="00203FBC"/>
    <w:rsid w:val="002132E3"/>
    <w:rsid w:val="00214B64"/>
    <w:rsid w:val="00217BED"/>
    <w:rsid w:val="00222CF3"/>
    <w:rsid w:val="00223377"/>
    <w:rsid w:val="002240BB"/>
    <w:rsid w:val="00225A2D"/>
    <w:rsid w:val="00226E23"/>
    <w:rsid w:val="00230A29"/>
    <w:rsid w:val="00234D79"/>
    <w:rsid w:val="002415DA"/>
    <w:rsid w:val="0024272F"/>
    <w:rsid w:val="00244185"/>
    <w:rsid w:val="00247AEB"/>
    <w:rsid w:val="00256C81"/>
    <w:rsid w:val="0026660C"/>
    <w:rsid w:val="00270E5B"/>
    <w:rsid w:val="00271E43"/>
    <w:rsid w:val="00277CA7"/>
    <w:rsid w:val="00281DE6"/>
    <w:rsid w:val="00285D14"/>
    <w:rsid w:val="00294FB6"/>
    <w:rsid w:val="00296A73"/>
    <w:rsid w:val="002A0936"/>
    <w:rsid w:val="002A50DB"/>
    <w:rsid w:val="002A78D5"/>
    <w:rsid w:val="002A7A99"/>
    <w:rsid w:val="002B1C35"/>
    <w:rsid w:val="002C1FB1"/>
    <w:rsid w:val="002C3AD5"/>
    <w:rsid w:val="002D08AA"/>
    <w:rsid w:val="002D0B4D"/>
    <w:rsid w:val="002D113F"/>
    <w:rsid w:val="002E1258"/>
    <w:rsid w:val="002E4DFA"/>
    <w:rsid w:val="002E6539"/>
    <w:rsid w:val="002E6F84"/>
    <w:rsid w:val="002F166B"/>
    <w:rsid w:val="002F32E6"/>
    <w:rsid w:val="00302567"/>
    <w:rsid w:val="00315851"/>
    <w:rsid w:val="0032386C"/>
    <w:rsid w:val="00324E6E"/>
    <w:rsid w:val="00325AA3"/>
    <w:rsid w:val="00326269"/>
    <w:rsid w:val="003335B0"/>
    <w:rsid w:val="00337172"/>
    <w:rsid w:val="00341377"/>
    <w:rsid w:val="003424C5"/>
    <w:rsid w:val="003469B5"/>
    <w:rsid w:val="00353920"/>
    <w:rsid w:val="0035705C"/>
    <w:rsid w:val="00357444"/>
    <w:rsid w:val="00361F09"/>
    <w:rsid w:val="00363007"/>
    <w:rsid w:val="00364B73"/>
    <w:rsid w:val="00371526"/>
    <w:rsid w:val="00372337"/>
    <w:rsid w:val="003766A4"/>
    <w:rsid w:val="00377102"/>
    <w:rsid w:val="00382C12"/>
    <w:rsid w:val="00384FC8"/>
    <w:rsid w:val="00390692"/>
    <w:rsid w:val="00391C39"/>
    <w:rsid w:val="00392463"/>
    <w:rsid w:val="0039690E"/>
    <w:rsid w:val="00396B07"/>
    <w:rsid w:val="00396FF7"/>
    <w:rsid w:val="003973D6"/>
    <w:rsid w:val="00397AD3"/>
    <w:rsid w:val="003A0047"/>
    <w:rsid w:val="003A18F2"/>
    <w:rsid w:val="003B0A59"/>
    <w:rsid w:val="003B56C4"/>
    <w:rsid w:val="003B7CAD"/>
    <w:rsid w:val="003C513D"/>
    <w:rsid w:val="003C60F5"/>
    <w:rsid w:val="003D4898"/>
    <w:rsid w:val="003D751A"/>
    <w:rsid w:val="003E28DD"/>
    <w:rsid w:val="003E38B6"/>
    <w:rsid w:val="003E5C7C"/>
    <w:rsid w:val="003E6463"/>
    <w:rsid w:val="003E6DE1"/>
    <w:rsid w:val="003F01D9"/>
    <w:rsid w:val="003F0BBE"/>
    <w:rsid w:val="003F1439"/>
    <w:rsid w:val="003F17FC"/>
    <w:rsid w:val="003F2EC9"/>
    <w:rsid w:val="003F3619"/>
    <w:rsid w:val="00401ACE"/>
    <w:rsid w:val="00404AE2"/>
    <w:rsid w:val="00405A36"/>
    <w:rsid w:val="00405B5D"/>
    <w:rsid w:val="00406EA4"/>
    <w:rsid w:val="00407718"/>
    <w:rsid w:val="00413051"/>
    <w:rsid w:val="00422187"/>
    <w:rsid w:val="00422F2C"/>
    <w:rsid w:val="004260B7"/>
    <w:rsid w:val="00426EA2"/>
    <w:rsid w:val="00427006"/>
    <w:rsid w:val="004273E3"/>
    <w:rsid w:val="00427F7C"/>
    <w:rsid w:val="0044572F"/>
    <w:rsid w:val="004466C6"/>
    <w:rsid w:val="00451564"/>
    <w:rsid w:val="0045342C"/>
    <w:rsid w:val="004570FB"/>
    <w:rsid w:val="00464055"/>
    <w:rsid w:val="00464275"/>
    <w:rsid w:val="00470026"/>
    <w:rsid w:val="00474789"/>
    <w:rsid w:val="0048416B"/>
    <w:rsid w:val="00487894"/>
    <w:rsid w:val="004A11A5"/>
    <w:rsid w:val="004B0351"/>
    <w:rsid w:val="004B5E28"/>
    <w:rsid w:val="004C128E"/>
    <w:rsid w:val="004C2B69"/>
    <w:rsid w:val="004C7E9E"/>
    <w:rsid w:val="004D3532"/>
    <w:rsid w:val="004E35B9"/>
    <w:rsid w:val="005013F9"/>
    <w:rsid w:val="00504E75"/>
    <w:rsid w:val="0050579B"/>
    <w:rsid w:val="005063B8"/>
    <w:rsid w:val="00510B10"/>
    <w:rsid w:val="00513F25"/>
    <w:rsid w:val="00515ECE"/>
    <w:rsid w:val="005169D5"/>
    <w:rsid w:val="00531196"/>
    <w:rsid w:val="00533B8B"/>
    <w:rsid w:val="005355F8"/>
    <w:rsid w:val="00546001"/>
    <w:rsid w:val="00554074"/>
    <w:rsid w:val="00556C61"/>
    <w:rsid w:val="00560370"/>
    <w:rsid w:val="00560C27"/>
    <w:rsid w:val="00563D17"/>
    <w:rsid w:val="00567885"/>
    <w:rsid w:val="00574D30"/>
    <w:rsid w:val="00583C1C"/>
    <w:rsid w:val="005852C0"/>
    <w:rsid w:val="005858C3"/>
    <w:rsid w:val="005901E6"/>
    <w:rsid w:val="0059161E"/>
    <w:rsid w:val="00593920"/>
    <w:rsid w:val="005A03FE"/>
    <w:rsid w:val="005A3550"/>
    <w:rsid w:val="005A3E16"/>
    <w:rsid w:val="005B0001"/>
    <w:rsid w:val="005B59B7"/>
    <w:rsid w:val="005C3213"/>
    <w:rsid w:val="005C39B5"/>
    <w:rsid w:val="005C40D0"/>
    <w:rsid w:val="005C59BD"/>
    <w:rsid w:val="005D1DF8"/>
    <w:rsid w:val="005D34B0"/>
    <w:rsid w:val="005D6D90"/>
    <w:rsid w:val="005D71AB"/>
    <w:rsid w:val="005D76ED"/>
    <w:rsid w:val="005E08C4"/>
    <w:rsid w:val="005E119C"/>
    <w:rsid w:val="005E515B"/>
    <w:rsid w:val="005F0117"/>
    <w:rsid w:val="005F0E82"/>
    <w:rsid w:val="005F11A4"/>
    <w:rsid w:val="005F3039"/>
    <w:rsid w:val="005F7B17"/>
    <w:rsid w:val="006005EA"/>
    <w:rsid w:val="00602E0C"/>
    <w:rsid w:val="00605A91"/>
    <w:rsid w:val="00622167"/>
    <w:rsid w:val="00633A55"/>
    <w:rsid w:val="00633E6B"/>
    <w:rsid w:val="006353D7"/>
    <w:rsid w:val="0063586D"/>
    <w:rsid w:val="00637401"/>
    <w:rsid w:val="00640407"/>
    <w:rsid w:val="00640E2A"/>
    <w:rsid w:val="00645498"/>
    <w:rsid w:val="0064757F"/>
    <w:rsid w:val="00654CCE"/>
    <w:rsid w:val="00657CCC"/>
    <w:rsid w:val="00660CC9"/>
    <w:rsid w:val="0066158B"/>
    <w:rsid w:val="00662820"/>
    <w:rsid w:val="0066379F"/>
    <w:rsid w:val="00666648"/>
    <w:rsid w:val="00670B31"/>
    <w:rsid w:val="00676AB0"/>
    <w:rsid w:val="00677646"/>
    <w:rsid w:val="00683C72"/>
    <w:rsid w:val="00695718"/>
    <w:rsid w:val="006A33DA"/>
    <w:rsid w:val="006A4020"/>
    <w:rsid w:val="006A4275"/>
    <w:rsid w:val="006B25F3"/>
    <w:rsid w:val="006B3CF8"/>
    <w:rsid w:val="006D2CDA"/>
    <w:rsid w:val="006D4AEC"/>
    <w:rsid w:val="006E0D84"/>
    <w:rsid w:val="006E64E5"/>
    <w:rsid w:val="006E7C68"/>
    <w:rsid w:val="006F0D4E"/>
    <w:rsid w:val="006F726D"/>
    <w:rsid w:val="007050C6"/>
    <w:rsid w:val="007073D5"/>
    <w:rsid w:val="00712F45"/>
    <w:rsid w:val="0072407A"/>
    <w:rsid w:val="00730674"/>
    <w:rsid w:val="00732E90"/>
    <w:rsid w:val="00734BD8"/>
    <w:rsid w:val="007352DA"/>
    <w:rsid w:val="00737BC2"/>
    <w:rsid w:val="00750A27"/>
    <w:rsid w:val="007553C8"/>
    <w:rsid w:val="00761BCC"/>
    <w:rsid w:val="00767F64"/>
    <w:rsid w:val="0077171B"/>
    <w:rsid w:val="00771AE7"/>
    <w:rsid w:val="00772237"/>
    <w:rsid w:val="00775917"/>
    <w:rsid w:val="00780332"/>
    <w:rsid w:val="0078517F"/>
    <w:rsid w:val="007A2E9C"/>
    <w:rsid w:val="007A424A"/>
    <w:rsid w:val="007A4A92"/>
    <w:rsid w:val="007A66C5"/>
    <w:rsid w:val="007B00CF"/>
    <w:rsid w:val="007B0FC0"/>
    <w:rsid w:val="007B3E8D"/>
    <w:rsid w:val="007B6C6C"/>
    <w:rsid w:val="007B73FB"/>
    <w:rsid w:val="007C18A3"/>
    <w:rsid w:val="007C7133"/>
    <w:rsid w:val="007D30D5"/>
    <w:rsid w:val="007D630C"/>
    <w:rsid w:val="007D7234"/>
    <w:rsid w:val="007D79E9"/>
    <w:rsid w:val="007D7E6B"/>
    <w:rsid w:val="007E0EFD"/>
    <w:rsid w:val="007E6D6E"/>
    <w:rsid w:val="007F6CAE"/>
    <w:rsid w:val="007F7A9D"/>
    <w:rsid w:val="00802B27"/>
    <w:rsid w:val="008030D2"/>
    <w:rsid w:val="00805854"/>
    <w:rsid w:val="00814A38"/>
    <w:rsid w:val="00816BE3"/>
    <w:rsid w:val="008225AB"/>
    <w:rsid w:val="00822C3F"/>
    <w:rsid w:val="00825438"/>
    <w:rsid w:val="00826132"/>
    <w:rsid w:val="00831533"/>
    <w:rsid w:val="00833518"/>
    <w:rsid w:val="008352E9"/>
    <w:rsid w:val="00836D31"/>
    <w:rsid w:val="008370C4"/>
    <w:rsid w:val="00841861"/>
    <w:rsid w:val="0084275D"/>
    <w:rsid w:val="00847F31"/>
    <w:rsid w:val="00855899"/>
    <w:rsid w:val="0086000A"/>
    <w:rsid w:val="00863C6F"/>
    <w:rsid w:val="00882CAA"/>
    <w:rsid w:val="008839E4"/>
    <w:rsid w:val="00883F5E"/>
    <w:rsid w:val="00884FB9"/>
    <w:rsid w:val="008852FC"/>
    <w:rsid w:val="0089613D"/>
    <w:rsid w:val="008A08BE"/>
    <w:rsid w:val="008A3308"/>
    <w:rsid w:val="008A5D44"/>
    <w:rsid w:val="008B79EA"/>
    <w:rsid w:val="008C2B27"/>
    <w:rsid w:val="008C4ACD"/>
    <w:rsid w:val="008C5639"/>
    <w:rsid w:val="008D0F02"/>
    <w:rsid w:val="008D346D"/>
    <w:rsid w:val="008E0646"/>
    <w:rsid w:val="008E3BB2"/>
    <w:rsid w:val="008E4A60"/>
    <w:rsid w:val="008E7B05"/>
    <w:rsid w:val="008F7054"/>
    <w:rsid w:val="009042A0"/>
    <w:rsid w:val="00904BAE"/>
    <w:rsid w:val="0091376F"/>
    <w:rsid w:val="009155CD"/>
    <w:rsid w:val="009164A9"/>
    <w:rsid w:val="009164E1"/>
    <w:rsid w:val="00921A86"/>
    <w:rsid w:val="00923347"/>
    <w:rsid w:val="009240D6"/>
    <w:rsid w:val="0093318E"/>
    <w:rsid w:val="00934F0A"/>
    <w:rsid w:val="009409BA"/>
    <w:rsid w:val="0094244C"/>
    <w:rsid w:val="00944661"/>
    <w:rsid w:val="0094572E"/>
    <w:rsid w:val="00946172"/>
    <w:rsid w:val="00954018"/>
    <w:rsid w:val="0095408C"/>
    <w:rsid w:val="00954D51"/>
    <w:rsid w:val="0096001E"/>
    <w:rsid w:val="009641D4"/>
    <w:rsid w:val="00970DD8"/>
    <w:rsid w:val="00972C71"/>
    <w:rsid w:val="009734F4"/>
    <w:rsid w:val="00977E25"/>
    <w:rsid w:val="009830E0"/>
    <w:rsid w:val="0098324F"/>
    <w:rsid w:val="009928E8"/>
    <w:rsid w:val="009929D6"/>
    <w:rsid w:val="00994049"/>
    <w:rsid w:val="009946ED"/>
    <w:rsid w:val="0099534D"/>
    <w:rsid w:val="009A5AB5"/>
    <w:rsid w:val="009A70DA"/>
    <w:rsid w:val="009B3F86"/>
    <w:rsid w:val="009C0D1E"/>
    <w:rsid w:val="009D1394"/>
    <w:rsid w:val="009D32AC"/>
    <w:rsid w:val="009D3432"/>
    <w:rsid w:val="009D585F"/>
    <w:rsid w:val="009E0778"/>
    <w:rsid w:val="009E3B58"/>
    <w:rsid w:val="009E5C25"/>
    <w:rsid w:val="009E6E2B"/>
    <w:rsid w:val="009E7539"/>
    <w:rsid w:val="009F1F44"/>
    <w:rsid w:val="009F40B1"/>
    <w:rsid w:val="009F607A"/>
    <w:rsid w:val="009F62B7"/>
    <w:rsid w:val="00A00782"/>
    <w:rsid w:val="00A04A59"/>
    <w:rsid w:val="00A04E7B"/>
    <w:rsid w:val="00A1029A"/>
    <w:rsid w:val="00A122E3"/>
    <w:rsid w:val="00A14F2A"/>
    <w:rsid w:val="00A153A1"/>
    <w:rsid w:val="00A16199"/>
    <w:rsid w:val="00A27EC1"/>
    <w:rsid w:val="00A302C3"/>
    <w:rsid w:val="00A30C3E"/>
    <w:rsid w:val="00A32521"/>
    <w:rsid w:val="00A36D19"/>
    <w:rsid w:val="00A411B0"/>
    <w:rsid w:val="00A4503D"/>
    <w:rsid w:val="00A4646C"/>
    <w:rsid w:val="00A6724B"/>
    <w:rsid w:val="00A76160"/>
    <w:rsid w:val="00A80616"/>
    <w:rsid w:val="00A80859"/>
    <w:rsid w:val="00A81534"/>
    <w:rsid w:val="00A8168E"/>
    <w:rsid w:val="00A90E02"/>
    <w:rsid w:val="00A9118B"/>
    <w:rsid w:val="00A93826"/>
    <w:rsid w:val="00A9435E"/>
    <w:rsid w:val="00AA0408"/>
    <w:rsid w:val="00AA1D7D"/>
    <w:rsid w:val="00AA5917"/>
    <w:rsid w:val="00AB06BD"/>
    <w:rsid w:val="00AB08E7"/>
    <w:rsid w:val="00AB1EDA"/>
    <w:rsid w:val="00AC1D65"/>
    <w:rsid w:val="00AC22A9"/>
    <w:rsid w:val="00AC3FD5"/>
    <w:rsid w:val="00AD100F"/>
    <w:rsid w:val="00AD43B4"/>
    <w:rsid w:val="00AD4850"/>
    <w:rsid w:val="00AE3EC3"/>
    <w:rsid w:val="00AE63D9"/>
    <w:rsid w:val="00AF51E9"/>
    <w:rsid w:val="00B017E7"/>
    <w:rsid w:val="00B030FC"/>
    <w:rsid w:val="00B064E0"/>
    <w:rsid w:val="00B11A7F"/>
    <w:rsid w:val="00B13C0A"/>
    <w:rsid w:val="00B140A1"/>
    <w:rsid w:val="00B15C1E"/>
    <w:rsid w:val="00B17FA0"/>
    <w:rsid w:val="00B218FC"/>
    <w:rsid w:val="00B23F86"/>
    <w:rsid w:val="00B2507A"/>
    <w:rsid w:val="00B26AB2"/>
    <w:rsid w:val="00B32821"/>
    <w:rsid w:val="00B34E1B"/>
    <w:rsid w:val="00B35573"/>
    <w:rsid w:val="00B35E58"/>
    <w:rsid w:val="00B41ABE"/>
    <w:rsid w:val="00B42338"/>
    <w:rsid w:val="00B430A9"/>
    <w:rsid w:val="00B53592"/>
    <w:rsid w:val="00B560E3"/>
    <w:rsid w:val="00B6534E"/>
    <w:rsid w:val="00B902CA"/>
    <w:rsid w:val="00B95474"/>
    <w:rsid w:val="00BA0C16"/>
    <w:rsid w:val="00BA24AF"/>
    <w:rsid w:val="00BA358F"/>
    <w:rsid w:val="00BA5A84"/>
    <w:rsid w:val="00BA5D06"/>
    <w:rsid w:val="00BC10F2"/>
    <w:rsid w:val="00BC65C6"/>
    <w:rsid w:val="00BD214E"/>
    <w:rsid w:val="00BD262E"/>
    <w:rsid w:val="00BD7085"/>
    <w:rsid w:val="00BE095A"/>
    <w:rsid w:val="00BE4671"/>
    <w:rsid w:val="00BE6BB0"/>
    <w:rsid w:val="00BF13E9"/>
    <w:rsid w:val="00C013B5"/>
    <w:rsid w:val="00C06A7E"/>
    <w:rsid w:val="00C139D4"/>
    <w:rsid w:val="00C16F7D"/>
    <w:rsid w:val="00C217E8"/>
    <w:rsid w:val="00C255B8"/>
    <w:rsid w:val="00C3594B"/>
    <w:rsid w:val="00C40E8D"/>
    <w:rsid w:val="00C40F88"/>
    <w:rsid w:val="00C46E47"/>
    <w:rsid w:val="00C47BFF"/>
    <w:rsid w:val="00C50F23"/>
    <w:rsid w:val="00C51A9D"/>
    <w:rsid w:val="00C54318"/>
    <w:rsid w:val="00C61F47"/>
    <w:rsid w:val="00C62480"/>
    <w:rsid w:val="00C63DF1"/>
    <w:rsid w:val="00C64C7A"/>
    <w:rsid w:val="00C64D2C"/>
    <w:rsid w:val="00C706FB"/>
    <w:rsid w:val="00C7385D"/>
    <w:rsid w:val="00C73E16"/>
    <w:rsid w:val="00C809E9"/>
    <w:rsid w:val="00C81B75"/>
    <w:rsid w:val="00C92BE5"/>
    <w:rsid w:val="00C94B5A"/>
    <w:rsid w:val="00CA0951"/>
    <w:rsid w:val="00CA17B7"/>
    <w:rsid w:val="00CA4770"/>
    <w:rsid w:val="00CA737E"/>
    <w:rsid w:val="00CA7A70"/>
    <w:rsid w:val="00CB6ED2"/>
    <w:rsid w:val="00CC492A"/>
    <w:rsid w:val="00CD08BB"/>
    <w:rsid w:val="00CD1799"/>
    <w:rsid w:val="00CD1FB2"/>
    <w:rsid w:val="00CD318C"/>
    <w:rsid w:val="00CD3D1F"/>
    <w:rsid w:val="00CD62CF"/>
    <w:rsid w:val="00CD6454"/>
    <w:rsid w:val="00CE0354"/>
    <w:rsid w:val="00CE0F30"/>
    <w:rsid w:val="00CF1F44"/>
    <w:rsid w:val="00CF2DD5"/>
    <w:rsid w:val="00CF7942"/>
    <w:rsid w:val="00D027EF"/>
    <w:rsid w:val="00D02B16"/>
    <w:rsid w:val="00D0421F"/>
    <w:rsid w:val="00D05068"/>
    <w:rsid w:val="00D06583"/>
    <w:rsid w:val="00D1227C"/>
    <w:rsid w:val="00D13663"/>
    <w:rsid w:val="00D15336"/>
    <w:rsid w:val="00D16A65"/>
    <w:rsid w:val="00D17BD9"/>
    <w:rsid w:val="00D17E93"/>
    <w:rsid w:val="00D221C9"/>
    <w:rsid w:val="00D223AD"/>
    <w:rsid w:val="00D2744F"/>
    <w:rsid w:val="00D313E8"/>
    <w:rsid w:val="00D3572A"/>
    <w:rsid w:val="00D40C59"/>
    <w:rsid w:val="00D47D24"/>
    <w:rsid w:val="00D54A9D"/>
    <w:rsid w:val="00D54C1D"/>
    <w:rsid w:val="00D56418"/>
    <w:rsid w:val="00D5794A"/>
    <w:rsid w:val="00D57CA8"/>
    <w:rsid w:val="00D62E6E"/>
    <w:rsid w:val="00D736AF"/>
    <w:rsid w:val="00D73C69"/>
    <w:rsid w:val="00D7500E"/>
    <w:rsid w:val="00D754A5"/>
    <w:rsid w:val="00D77F72"/>
    <w:rsid w:val="00D87267"/>
    <w:rsid w:val="00D9165F"/>
    <w:rsid w:val="00D93137"/>
    <w:rsid w:val="00DA5A8D"/>
    <w:rsid w:val="00DB0D9C"/>
    <w:rsid w:val="00DB254A"/>
    <w:rsid w:val="00DB3376"/>
    <w:rsid w:val="00DC1216"/>
    <w:rsid w:val="00DC1364"/>
    <w:rsid w:val="00DC175D"/>
    <w:rsid w:val="00DD0D4A"/>
    <w:rsid w:val="00DD10C4"/>
    <w:rsid w:val="00DD5402"/>
    <w:rsid w:val="00DD6DB4"/>
    <w:rsid w:val="00DE277C"/>
    <w:rsid w:val="00DE33FA"/>
    <w:rsid w:val="00DE4F80"/>
    <w:rsid w:val="00DE5B23"/>
    <w:rsid w:val="00DE5D26"/>
    <w:rsid w:val="00DF04CD"/>
    <w:rsid w:val="00DF09AB"/>
    <w:rsid w:val="00DF3A3A"/>
    <w:rsid w:val="00DF3EFF"/>
    <w:rsid w:val="00E0023E"/>
    <w:rsid w:val="00E0050B"/>
    <w:rsid w:val="00E06FFD"/>
    <w:rsid w:val="00E1320A"/>
    <w:rsid w:val="00E14E61"/>
    <w:rsid w:val="00E174AD"/>
    <w:rsid w:val="00E2479F"/>
    <w:rsid w:val="00E41596"/>
    <w:rsid w:val="00E432AD"/>
    <w:rsid w:val="00E442BA"/>
    <w:rsid w:val="00E45E10"/>
    <w:rsid w:val="00E50DF8"/>
    <w:rsid w:val="00E579BD"/>
    <w:rsid w:val="00E63E0C"/>
    <w:rsid w:val="00E752DF"/>
    <w:rsid w:val="00E773E7"/>
    <w:rsid w:val="00E80AD3"/>
    <w:rsid w:val="00E826AB"/>
    <w:rsid w:val="00E86AF0"/>
    <w:rsid w:val="00E91813"/>
    <w:rsid w:val="00E93339"/>
    <w:rsid w:val="00E93B71"/>
    <w:rsid w:val="00EA0A4F"/>
    <w:rsid w:val="00EA145F"/>
    <w:rsid w:val="00EA30A2"/>
    <w:rsid w:val="00EA57A6"/>
    <w:rsid w:val="00EA6FA2"/>
    <w:rsid w:val="00EB02F4"/>
    <w:rsid w:val="00EB6313"/>
    <w:rsid w:val="00EC168E"/>
    <w:rsid w:val="00EC3B8B"/>
    <w:rsid w:val="00EC5972"/>
    <w:rsid w:val="00ED22E2"/>
    <w:rsid w:val="00ED30C9"/>
    <w:rsid w:val="00ED4683"/>
    <w:rsid w:val="00EE1FEC"/>
    <w:rsid w:val="00EF1872"/>
    <w:rsid w:val="00F114EE"/>
    <w:rsid w:val="00F136DE"/>
    <w:rsid w:val="00F16F5D"/>
    <w:rsid w:val="00F17014"/>
    <w:rsid w:val="00F1739F"/>
    <w:rsid w:val="00F2122F"/>
    <w:rsid w:val="00F23414"/>
    <w:rsid w:val="00F24D81"/>
    <w:rsid w:val="00F2692A"/>
    <w:rsid w:val="00F26AE1"/>
    <w:rsid w:val="00F27478"/>
    <w:rsid w:val="00F32FE6"/>
    <w:rsid w:val="00F34A25"/>
    <w:rsid w:val="00F42732"/>
    <w:rsid w:val="00F44855"/>
    <w:rsid w:val="00F449D2"/>
    <w:rsid w:val="00F45153"/>
    <w:rsid w:val="00F53553"/>
    <w:rsid w:val="00F54BBE"/>
    <w:rsid w:val="00F56497"/>
    <w:rsid w:val="00F676CC"/>
    <w:rsid w:val="00F739EC"/>
    <w:rsid w:val="00F7432C"/>
    <w:rsid w:val="00F764F6"/>
    <w:rsid w:val="00F8011F"/>
    <w:rsid w:val="00F82465"/>
    <w:rsid w:val="00F82B2B"/>
    <w:rsid w:val="00F935E1"/>
    <w:rsid w:val="00FA17E6"/>
    <w:rsid w:val="00FA5376"/>
    <w:rsid w:val="00FB590E"/>
    <w:rsid w:val="00FC1252"/>
    <w:rsid w:val="00FC41B9"/>
    <w:rsid w:val="00FD0FBC"/>
    <w:rsid w:val="00FD373F"/>
    <w:rsid w:val="00FD5170"/>
    <w:rsid w:val="00FD7848"/>
    <w:rsid w:val="00FE005B"/>
    <w:rsid w:val="00FE419F"/>
    <w:rsid w:val="00FF2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219DFA1"/>
  <w15:docId w15:val="{7CBF8CCB-F0BF-4A26-93B8-D7CF6474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0DFF"/>
    <w:rPr>
      <w:sz w:val="24"/>
      <w:szCs w:val="24"/>
    </w:rPr>
  </w:style>
  <w:style w:type="paragraph" w:styleId="Nadpis1">
    <w:name w:val="heading 1"/>
    <w:basedOn w:val="Normln"/>
    <w:next w:val="Normln"/>
    <w:link w:val="Nadpis1Char"/>
    <w:qFormat/>
    <w:rsid w:val="00A93826"/>
    <w:pPr>
      <w:keepNext/>
      <w:spacing w:before="480" w:after="240"/>
      <w:outlineLvl w:val="0"/>
    </w:pPr>
    <w:rPr>
      <w:rFonts w:cs="Arial"/>
      <w:b/>
      <w:bCs/>
      <w:kern w:val="32"/>
      <w:sz w:val="32"/>
      <w:szCs w:val="32"/>
    </w:rPr>
  </w:style>
  <w:style w:type="paragraph" w:styleId="Nadpis2">
    <w:name w:val="heading 2"/>
    <w:basedOn w:val="Normln"/>
    <w:next w:val="Normln"/>
    <w:link w:val="Nadpis2Char"/>
    <w:qFormat/>
    <w:rsid w:val="00A93826"/>
    <w:pPr>
      <w:keepNext/>
      <w:spacing w:before="240" w:after="60"/>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826"/>
    <w:rPr>
      <w:rFonts w:cs="Arial"/>
      <w:b/>
      <w:bCs/>
      <w:kern w:val="32"/>
      <w:sz w:val="32"/>
      <w:szCs w:val="32"/>
    </w:rPr>
  </w:style>
  <w:style w:type="character" w:customStyle="1" w:styleId="Nadpis2Char">
    <w:name w:val="Nadpis 2 Char"/>
    <w:basedOn w:val="Standardnpsmoodstavce"/>
    <w:link w:val="Nadpis2"/>
    <w:rsid w:val="00A93826"/>
    <w:rPr>
      <w:rFonts w:cs="Arial"/>
      <w:b/>
      <w:bCs/>
      <w:iCs/>
      <w:sz w:val="28"/>
      <w:szCs w:val="28"/>
    </w:rPr>
  </w:style>
  <w:style w:type="paragraph" w:styleId="Zkladntext3">
    <w:name w:val="Body Text 3"/>
    <w:basedOn w:val="Normln"/>
    <w:link w:val="Zkladntext3Char"/>
    <w:rsid w:val="00180DFF"/>
    <w:pPr>
      <w:spacing w:after="120"/>
    </w:pPr>
    <w:rPr>
      <w:sz w:val="16"/>
      <w:szCs w:val="16"/>
    </w:rPr>
  </w:style>
  <w:style w:type="character" w:customStyle="1" w:styleId="Zkladntext3Char">
    <w:name w:val="Základní text 3 Char"/>
    <w:basedOn w:val="Standardnpsmoodstavce"/>
    <w:link w:val="Zkladntext3"/>
    <w:rsid w:val="00180DFF"/>
    <w:rPr>
      <w:sz w:val="16"/>
      <w:szCs w:val="16"/>
    </w:rPr>
  </w:style>
  <w:style w:type="paragraph" w:styleId="Zkladntextodsazen3">
    <w:name w:val="Body Text Indent 3"/>
    <w:basedOn w:val="Normln"/>
    <w:link w:val="Zkladntextodsazen3Char"/>
    <w:rsid w:val="00180DFF"/>
    <w:pPr>
      <w:spacing w:after="120"/>
      <w:ind w:left="283"/>
    </w:pPr>
    <w:rPr>
      <w:sz w:val="16"/>
      <w:szCs w:val="16"/>
    </w:rPr>
  </w:style>
  <w:style w:type="character" w:customStyle="1" w:styleId="Zkladntextodsazen3Char">
    <w:name w:val="Základní text odsazený 3 Char"/>
    <w:basedOn w:val="Standardnpsmoodstavce"/>
    <w:link w:val="Zkladntextodsazen3"/>
    <w:rsid w:val="00180DFF"/>
    <w:rPr>
      <w:sz w:val="16"/>
      <w:szCs w:val="16"/>
    </w:rPr>
  </w:style>
  <w:style w:type="paragraph" w:styleId="Zhlav">
    <w:name w:val="header"/>
    <w:basedOn w:val="Normln"/>
    <w:link w:val="ZhlavChar"/>
    <w:rsid w:val="00180DFF"/>
    <w:pPr>
      <w:tabs>
        <w:tab w:val="center" w:pos="4536"/>
        <w:tab w:val="right" w:pos="9072"/>
      </w:tabs>
    </w:pPr>
  </w:style>
  <w:style w:type="character" w:customStyle="1" w:styleId="ZhlavChar">
    <w:name w:val="Záhlaví Char"/>
    <w:basedOn w:val="Standardnpsmoodstavce"/>
    <w:link w:val="Zhlav"/>
    <w:rsid w:val="00180DFF"/>
    <w:rPr>
      <w:sz w:val="24"/>
      <w:szCs w:val="24"/>
    </w:rPr>
  </w:style>
  <w:style w:type="paragraph" w:styleId="Zkladntextodsazen">
    <w:name w:val="Body Text Indent"/>
    <w:basedOn w:val="Normln"/>
    <w:link w:val="ZkladntextodsazenChar"/>
    <w:rsid w:val="00180DFF"/>
    <w:pPr>
      <w:spacing w:after="120"/>
      <w:ind w:left="283"/>
    </w:pPr>
  </w:style>
  <w:style w:type="character" w:customStyle="1" w:styleId="ZkladntextodsazenChar">
    <w:name w:val="Základní text odsazený Char"/>
    <w:basedOn w:val="Standardnpsmoodstavce"/>
    <w:link w:val="Zkladntextodsazen"/>
    <w:rsid w:val="00180DFF"/>
    <w:rPr>
      <w:sz w:val="24"/>
      <w:szCs w:val="24"/>
    </w:rPr>
  </w:style>
  <w:style w:type="paragraph" w:styleId="Zpat">
    <w:name w:val="footer"/>
    <w:basedOn w:val="Normln"/>
    <w:link w:val="ZpatChar"/>
    <w:rsid w:val="00180DFF"/>
    <w:pPr>
      <w:tabs>
        <w:tab w:val="center" w:pos="4536"/>
        <w:tab w:val="right" w:pos="9072"/>
      </w:tabs>
    </w:pPr>
  </w:style>
  <w:style w:type="character" w:customStyle="1" w:styleId="ZpatChar">
    <w:name w:val="Zápatí Char"/>
    <w:basedOn w:val="Standardnpsmoodstavce"/>
    <w:link w:val="Zpat"/>
    <w:rsid w:val="00180DFF"/>
    <w:rPr>
      <w:sz w:val="24"/>
      <w:szCs w:val="24"/>
    </w:rPr>
  </w:style>
  <w:style w:type="character" w:styleId="slostrnky">
    <w:name w:val="page number"/>
    <w:basedOn w:val="Standardnpsmoodstavce"/>
    <w:rsid w:val="00180DFF"/>
  </w:style>
  <w:style w:type="paragraph" w:styleId="Odstavecseseznamem">
    <w:name w:val="List Paragraph"/>
    <w:basedOn w:val="Normln"/>
    <w:uiPriority w:val="34"/>
    <w:qFormat/>
    <w:rsid w:val="00180DFF"/>
    <w:pPr>
      <w:suppressAutoHyphens/>
      <w:ind w:left="708"/>
    </w:pPr>
    <w:rPr>
      <w:sz w:val="20"/>
      <w:szCs w:val="20"/>
      <w:lang w:eastAsia="ar-SA"/>
    </w:rPr>
  </w:style>
  <w:style w:type="character" w:styleId="Odkaznakoment">
    <w:name w:val="annotation reference"/>
    <w:rsid w:val="00180DFF"/>
    <w:rPr>
      <w:sz w:val="16"/>
      <w:szCs w:val="16"/>
    </w:rPr>
  </w:style>
  <w:style w:type="paragraph" w:styleId="Textkomente">
    <w:name w:val="annotation text"/>
    <w:basedOn w:val="Normln"/>
    <w:link w:val="TextkomenteChar"/>
    <w:rsid w:val="00180DFF"/>
    <w:rPr>
      <w:sz w:val="20"/>
      <w:szCs w:val="20"/>
    </w:rPr>
  </w:style>
  <w:style w:type="character" w:customStyle="1" w:styleId="TextkomenteChar">
    <w:name w:val="Text komentáře Char"/>
    <w:basedOn w:val="Standardnpsmoodstavce"/>
    <w:link w:val="Textkomente"/>
    <w:rsid w:val="00180DFF"/>
  </w:style>
  <w:style w:type="paragraph" w:styleId="Textbubliny">
    <w:name w:val="Balloon Text"/>
    <w:basedOn w:val="Normln"/>
    <w:link w:val="TextbublinyChar"/>
    <w:rsid w:val="00180DFF"/>
    <w:rPr>
      <w:rFonts w:ascii="Tahoma" w:hAnsi="Tahoma" w:cs="Tahoma"/>
      <w:sz w:val="16"/>
      <w:szCs w:val="16"/>
    </w:rPr>
  </w:style>
  <w:style w:type="character" w:customStyle="1" w:styleId="TextbublinyChar">
    <w:name w:val="Text bubliny Char"/>
    <w:basedOn w:val="Standardnpsmoodstavce"/>
    <w:link w:val="Textbubliny"/>
    <w:rsid w:val="00180DFF"/>
    <w:rPr>
      <w:rFonts w:ascii="Tahoma" w:hAnsi="Tahoma" w:cs="Tahoma"/>
      <w:sz w:val="16"/>
      <w:szCs w:val="16"/>
    </w:rPr>
  </w:style>
  <w:style w:type="paragraph" w:styleId="Zkladntext">
    <w:name w:val="Body Text"/>
    <w:basedOn w:val="Normln"/>
    <w:link w:val="ZkladntextChar"/>
    <w:rsid w:val="00640407"/>
    <w:pPr>
      <w:spacing w:after="120"/>
    </w:pPr>
  </w:style>
  <w:style w:type="character" w:customStyle="1" w:styleId="ZkladntextChar">
    <w:name w:val="Základní text Char"/>
    <w:basedOn w:val="Standardnpsmoodstavce"/>
    <w:link w:val="Zkladntext"/>
    <w:rsid w:val="00640407"/>
    <w:rPr>
      <w:sz w:val="24"/>
      <w:szCs w:val="24"/>
    </w:rPr>
  </w:style>
  <w:style w:type="table" w:styleId="Mkatabulky">
    <w:name w:val="Table Grid"/>
    <w:basedOn w:val="Normlntabulka"/>
    <w:uiPriority w:val="59"/>
    <w:rsid w:val="005D6D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SLListe">
    <w:name w:val="NSL_Liste"/>
    <w:rsid w:val="008E0646"/>
    <w:pPr>
      <w:numPr>
        <w:numId w:val="2"/>
      </w:numPr>
    </w:pPr>
  </w:style>
  <w:style w:type="character" w:customStyle="1" w:styleId="datalabel">
    <w:name w:val="datalabel"/>
    <w:basedOn w:val="Standardnpsmoodstavce"/>
    <w:rsid w:val="009734F4"/>
  </w:style>
  <w:style w:type="paragraph" w:styleId="Pedmtkomente">
    <w:name w:val="annotation subject"/>
    <w:basedOn w:val="Textkomente"/>
    <w:next w:val="Textkomente"/>
    <w:link w:val="PedmtkomenteChar"/>
    <w:semiHidden/>
    <w:unhideWhenUsed/>
    <w:rsid w:val="00C3594B"/>
    <w:rPr>
      <w:b/>
      <w:bCs/>
    </w:rPr>
  </w:style>
  <w:style w:type="character" w:customStyle="1" w:styleId="PedmtkomenteChar">
    <w:name w:val="Předmět komentáře Char"/>
    <w:basedOn w:val="TextkomenteChar"/>
    <w:link w:val="Pedmtkomente"/>
    <w:semiHidden/>
    <w:rsid w:val="00C3594B"/>
    <w:rPr>
      <w:b/>
      <w:bCs/>
    </w:rPr>
  </w:style>
  <w:style w:type="character" w:customStyle="1" w:styleId="Podtitul1">
    <w:name w:val="Podtitul1"/>
    <w:basedOn w:val="Standardnpsmoodstavce"/>
    <w:rsid w:val="006A4020"/>
  </w:style>
  <w:style w:type="paragraph" w:styleId="Bezmezer">
    <w:name w:val="No Spacing"/>
    <w:uiPriority w:val="1"/>
    <w:qFormat/>
    <w:rsid w:val="009E6E2B"/>
    <w:rPr>
      <w:sz w:val="24"/>
      <w:szCs w:val="24"/>
    </w:rPr>
  </w:style>
  <w:style w:type="character" w:styleId="Siln">
    <w:name w:val="Strong"/>
    <w:basedOn w:val="Standardnpsmoodstavce"/>
    <w:qFormat/>
    <w:rsid w:val="009E6E2B"/>
    <w:rPr>
      <w:b/>
      <w:bCs/>
    </w:rPr>
  </w:style>
  <w:style w:type="paragraph" w:styleId="Revize">
    <w:name w:val="Revision"/>
    <w:hidden/>
    <w:uiPriority w:val="99"/>
    <w:semiHidden/>
    <w:rsid w:val="00C13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3679">
      <w:bodyDiv w:val="1"/>
      <w:marLeft w:val="0"/>
      <w:marRight w:val="0"/>
      <w:marTop w:val="0"/>
      <w:marBottom w:val="0"/>
      <w:divBdr>
        <w:top w:val="none" w:sz="0" w:space="0" w:color="auto"/>
        <w:left w:val="none" w:sz="0" w:space="0" w:color="auto"/>
        <w:bottom w:val="none" w:sz="0" w:space="0" w:color="auto"/>
        <w:right w:val="none" w:sz="0" w:space="0" w:color="auto"/>
      </w:divBdr>
    </w:div>
    <w:div w:id="199704769">
      <w:bodyDiv w:val="1"/>
      <w:marLeft w:val="0"/>
      <w:marRight w:val="0"/>
      <w:marTop w:val="0"/>
      <w:marBottom w:val="0"/>
      <w:divBdr>
        <w:top w:val="none" w:sz="0" w:space="0" w:color="auto"/>
        <w:left w:val="none" w:sz="0" w:space="0" w:color="auto"/>
        <w:bottom w:val="none" w:sz="0" w:space="0" w:color="auto"/>
        <w:right w:val="none" w:sz="0" w:space="0" w:color="auto"/>
      </w:divBdr>
    </w:div>
    <w:div w:id="318968533">
      <w:bodyDiv w:val="1"/>
      <w:marLeft w:val="0"/>
      <w:marRight w:val="0"/>
      <w:marTop w:val="0"/>
      <w:marBottom w:val="0"/>
      <w:divBdr>
        <w:top w:val="none" w:sz="0" w:space="0" w:color="auto"/>
        <w:left w:val="none" w:sz="0" w:space="0" w:color="auto"/>
        <w:bottom w:val="none" w:sz="0" w:space="0" w:color="auto"/>
        <w:right w:val="none" w:sz="0" w:space="0" w:color="auto"/>
      </w:divBdr>
    </w:div>
    <w:div w:id="350449185">
      <w:bodyDiv w:val="1"/>
      <w:marLeft w:val="0"/>
      <w:marRight w:val="0"/>
      <w:marTop w:val="0"/>
      <w:marBottom w:val="0"/>
      <w:divBdr>
        <w:top w:val="none" w:sz="0" w:space="0" w:color="auto"/>
        <w:left w:val="none" w:sz="0" w:space="0" w:color="auto"/>
        <w:bottom w:val="none" w:sz="0" w:space="0" w:color="auto"/>
        <w:right w:val="none" w:sz="0" w:space="0" w:color="auto"/>
      </w:divBdr>
    </w:div>
    <w:div w:id="383599937">
      <w:bodyDiv w:val="1"/>
      <w:marLeft w:val="0"/>
      <w:marRight w:val="0"/>
      <w:marTop w:val="0"/>
      <w:marBottom w:val="0"/>
      <w:divBdr>
        <w:top w:val="none" w:sz="0" w:space="0" w:color="auto"/>
        <w:left w:val="none" w:sz="0" w:space="0" w:color="auto"/>
        <w:bottom w:val="none" w:sz="0" w:space="0" w:color="auto"/>
        <w:right w:val="none" w:sz="0" w:space="0" w:color="auto"/>
      </w:divBdr>
    </w:div>
    <w:div w:id="522087030">
      <w:bodyDiv w:val="1"/>
      <w:marLeft w:val="0"/>
      <w:marRight w:val="0"/>
      <w:marTop w:val="0"/>
      <w:marBottom w:val="0"/>
      <w:divBdr>
        <w:top w:val="none" w:sz="0" w:space="0" w:color="auto"/>
        <w:left w:val="none" w:sz="0" w:space="0" w:color="auto"/>
        <w:bottom w:val="none" w:sz="0" w:space="0" w:color="auto"/>
        <w:right w:val="none" w:sz="0" w:space="0" w:color="auto"/>
      </w:divBdr>
    </w:div>
    <w:div w:id="587009698">
      <w:bodyDiv w:val="1"/>
      <w:marLeft w:val="0"/>
      <w:marRight w:val="0"/>
      <w:marTop w:val="0"/>
      <w:marBottom w:val="0"/>
      <w:divBdr>
        <w:top w:val="none" w:sz="0" w:space="0" w:color="auto"/>
        <w:left w:val="none" w:sz="0" w:space="0" w:color="auto"/>
        <w:bottom w:val="none" w:sz="0" w:space="0" w:color="auto"/>
        <w:right w:val="none" w:sz="0" w:space="0" w:color="auto"/>
      </w:divBdr>
    </w:div>
    <w:div w:id="657420879">
      <w:bodyDiv w:val="1"/>
      <w:marLeft w:val="0"/>
      <w:marRight w:val="0"/>
      <w:marTop w:val="0"/>
      <w:marBottom w:val="0"/>
      <w:divBdr>
        <w:top w:val="none" w:sz="0" w:space="0" w:color="auto"/>
        <w:left w:val="none" w:sz="0" w:space="0" w:color="auto"/>
        <w:bottom w:val="none" w:sz="0" w:space="0" w:color="auto"/>
        <w:right w:val="none" w:sz="0" w:space="0" w:color="auto"/>
      </w:divBdr>
    </w:div>
    <w:div w:id="839781583">
      <w:bodyDiv w:val="1"/>
      <w:marLeft w:val="0"/>
      <w:marRight w:val="0"/>
      <w:marTop w:val="0"/>
      <w:marBottom w:val="0"/>
      <w:divBdr>
        <w:top w:val="none" w:sz="0" w:space="0" w:color="auto"/>
        <w:left w:val="none" w:sz="0" w:space="0" w:color="auto"/>
        <w:bottom w:val="none" w:sz="0" w:space="0" w:color="auto"/>
        <w:right w:val="none" w:sz="0" w:space="0" w:color="auto"/>
      </w:divBdr>
    </w:div>
    <w:div w:id="852453200">
      <w:bodyDiv w:val="1"/>
      <w:marLeft w:val="0"/>
      <w:marRight w:val="0"/>
      <w:marTop w:val="0"/>
      <w:marBottom w:val="0"/>
      <w:divBdr>
        <w:top w:val="none" w:sz="0" w:space="0" w:color="auto"/>
        <w:left w:val="none" w:sz="0" w:space="0" w:color="auto"/>
        <w:bottom w:val="none" w:sz="0" w:space="0" w:color="auto"/>
        <w:right w:val="none" w:sz="0" w:space="0" w:color="auto"/>
      </w:divBdr>
    </w:div>
    <w:div w:id="953512843">
      <w:bodyDiv w:val="1"/>
      <w:marLeft w:val="0"/>
      <w:marRight w:val="0"/>
      <w:marTop w:val="0"/>
      <w:marBottom w:val="0"/>
      <w:divBdr>
        <w:top w:val="none" w:sz="0" w:space="0" w:color="auto"/>
        <w:left w:val="none" w:sz="0" w:space="0" w:color="auto"/>
        <w:bottom w:val="none" w:sz="0" w:space="0" w:color="auto"/>
        <w:right w:val="none" w:sz="0" w:space="0" w:color="auto"/>
      </w:divBdr>
    </w:div>
    <w:div w:id="1053776838">
      <w:bodyDiv w:val="1"/>
      <w:marLeft w:val="0"/>
      <w:marRight w:val="0"/>
      <w:marTop w:val="0"/>
      <w:marBottom w:val="0"/>
      <w:divBdr>
        <w:top w:val="none" w:sz="0" w:space="0" w:color="auto"/>
        <w:left w:val="none" w:sz="0" w:space="0" w:color="auto"/>
        <w:bottom w:val="none" w:sz="0" w:space="0" w:color="auto"/>
        <w:right w:val="none" w:sz="0" w:space="0" w:color="auto"/>
      </w:divBdr>
    </w:div>
    <w:div w:id="1664117165">
      <w:bodyDiv w:val="1"/>
      <w:marLeft w:val="0"/>
      <w:marRight w:val="0"/>
      <w:marTop w:val="0"/>
      <w:marBottom w:val="0"/>
      <w:divBdr>
        <w:top w:val="none" w:sz="0" w:space="0" w:color="auto"/>
        <w:left w:val="none" w:sz="0" w:space="0" w:color="auto"/>
        <w:bottom w:val="none" w:sz="0" w:space="0" w:color="auto"/>
        <w:right w:val="none" w:sz="0" w:space="0" w:color="auto"/>
      </w:divBdr>
    </w:div>
    <w:div w:id="18005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CA7A-A1C8-48E8-9400-098952FA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2925</Words>
  <Characters>17426</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Meopta Optika, s.r.o.</Company>
  <LinksUpToDate>false</LinksUpToDate>
  <CharactersWithSpaces>20311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Skopalová Lenka</dc:creator>
  <cp:lastModifiedBy>Moťková Lucie</cp:lastModifiedBy>
  <cp:revision>7</cp:revision>
  <cp:lastPrinted>2018-03-16T13:24:00Z</cp:lastPrinted>
  <dcterms:created xsi:type="dcterms:W3CDTF">2018-01-26T07:46:00Z</dcterms:created>
  <dcterms:modified xsi:type="dcterms:W3CDTF">2018-03-16T13:26:00Z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-2584935</vt:i4>
  </property>
</Properties>
</file>