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D" w:rsidRPr="005070F9" w:rsidRDefault="00E4315D" w:rsidP="00860130">
      <w:pPr>
        <w:jc w:val="center"/>
        <w:rPr>
          <w:b/>
          <w:sz w:val="28"/>
          <w:szCs w:val="28"/>
          <w:lang w:val="cs-CZ"/>
        </w:rPr>
      </w:pPr>
      <w:r w:rsidRPr="005070F9">
        <w:rPr>
          <w:b/>
          <w:sz w:val="28"/>
          <w:szCs w:val="28"/>
          <w:lang w:val="cs-CZ"/>
        </w:rPr>
        <w:t>Dohoda o podmínkách nákupu</w:t>
      </w:r>
    </w:p>
    <w:p w:rsidR="005F6DA0" w:rsidRPr="00FE63F9" w:rsidRDefault="005F6DA0" w:rsidP="005F6DA0">
      <w:pPr>
        <w:tabs>
          <w:tab w:val="left" w:pos="0"/>
          <w:tab w:val="left" w:pos="1440"/>
          <w:tab w:val="left" w:pos="1872"/>
          <w:tab w:val="left" w:pos="2304"/>
        </w:tabs>
        <w:jc w:val="center"/>
        <w:rPr>
          <w:lang w:val="cs-CZ"/>
        </w:rPr>
      </w:pPr>
    </w:p>
    <w:p w:rsidR="005F6DA0" w:rsidRPr="00681B42" w:rsidRDefault="005F6DA0" w:rsidP="005F6DA0">
      <w:pPr>
        <w:tabs>
          <w:tab w:val="left" w:pos="0"/>
          <w:tab w:val="left" w:pos="1440"/>
          <w:tab w:val="left" w:pos="1872"/>
          <w:tab w:val="left" w:pos="2304"/>
        </w:tabs>
        <w:jc w:val="center"/>
        <w:rPr>
          <w:rFonts w:cs="Arial"/>
          <w:sz w:val="20"/>
          <w:szCs w:val="20"/>
          <w:lang w:val="cs-CZ"/>
        </w:rPr>
      </w:pPr>
      <w:r w:rsidRPr="00681B42">
        <w:rPr>
          <w:rFonts w:cs="Arial"/>
          <w:sz w:val="20"/>
          <w:szCs w:val="20"/>
          <w:lang w:val="cs-CZ"/>
        </w:rPr>
        <w:t>(</w:t>
      </w:r>
      <w:r>
        <w:rPr>
          <w:rFonts w:cs="Arial"/>
          <w:sz w:val="20"/>
          <w:szCs w:val="20"/>
          <w:lang w:val="cs-CZ"/>
        </w:rPr>
        <w:t xml:space="preserve">dále jen </w:t>
      </w:r>
      <w:r w:rsidRPr="00681B42">
        <w:rPr>
          <w:rFonts w:cs="Arial"/>
          <w:sz w:val="20"/>
          <w:szCs w:val="20"/>
          <w:lang w:val="cs-CZ"/>
        </w:rPr>
        <w:t>“Dohoda”)</w:t>
      </w:r>
    </w:p>
    <w:p w:rsidR="005F6DA0" w:rsidRPr="00FE63F9" w:rsidRDefault="005F6DA0" w:rsidP="005F6DA0">
      <w:pPr>
        <w:tabs>
          <w:tab w:val="left" w:pos="0"/>
          <w:tab w:val="left" w:pos="1440"/>
          <w:tab w:val="left" w:pos="1872"/>
          <w:tab w:val="left" w:pos="2304"/>
        </w:tabs>
        <w:jc w:val="center"/>
        <w:rPr>
          <w:lang w:val="cs-CZ"/>
        </w:rPr>
      </w:pPr>
    </w:p>
    <w:p w:rsidR="00860130" w:rsidRPr="005070F9" w:rsidRDefault="00E4315D" w:rsidP="00860130">
      <w:pPr>
        <w:spacing w:line="200" w:lineRule="atLeast"/>
        <w:jc w:val="center"/>
        <w:rPr>
          <w:rFonts w:cs="Arial"/>
          <w:sz w:val="20"/>
          <w:lang w:val="cs-CZ"/>
        </w:rPr>
      </w:pPr>
      <w:proofErr w:type="gramStart"/>
      <w:r w:rsidRPr="005070F9">
        <w:rPr>
          <w:rFonts w:cs="Arial"/>
          <w:sz w:val="20"/>
          <w:lang w:val="cs-CZ"/>
        </w:rPr>
        <w:t>mezi</w:t>
      </w:r>
      <w:proofErr w:type="gramEnd"/>
    </w:p>
    <w:p w:rsidR="00860130" w:rsidRPr="005070F9" w:rsidRDefault="008601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860130" w:rsidRPr="005070F9" w:rsidRDefault="008601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860130" w:rsidRPr="005070F9" w:rsidRDefault="008601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860130" w:rsidRPr="005070F9" w:rsidRDefault="00F53AB1" w:rsidP="00860130">
      <w:pPr>
        <w:spacing w:line="200" w:lineRule="atLeast"/>
        <w:jc w:val="center"/>
        <w:rPr>
          <w:rFonts w:cs="Arial"/>
          <w:b/>
          <w:color w:val="FF0000"/>
          <w:sz w:val="20"/>
          <w:lang w:val="cs-CZ"/>
        </w:rPr>
      </w:pPr>
      <w:r>
        <w:rPr>
          <w:rFonts w:cs="Arial"/>
          <w:b/>
          <w:color w:val="FF0000"/>
          <w:sz w:val="20"/>
          <w:lang w:val="cs-CZ"/>
        </w:rPr>
        <w:t>Obchodní název</w:t>
      </w:r>
      <w:r w:rsidR="00E4315D" w:rsidRPr="005070F9">
        <w:rPr>
          <w:rFonts w:cs="Arial"/>
          <w:b/>
          <w:color w:val="FF0000"/>
          <w:sz w:val="20"/>
          <w:lang w:val="cs-CZ"/>
        </w:rPr>
        <w:t xml:space="preserve"> smluvního partnera</w:t>
      </w:r>
    </w:p>
    <w:p w:rsidR="00860130" w:rsidRPr="005070F9" w:rsidRDefault="00860130" w:rsidP="00860130">
      <w:pPr>
        <w:spacing w:line="200" w:lineRule="atLeast"/>
        <w:jc w:val="center"/>
        <w:rPr>
          <w:rFonts w:cs="Arial"/>
          <w:b/>
          <w:sz w:val="20"/>
          <w:lang w:val="cs-CZ"/>
        </w:rPr>
      </w:pPr>
    </w:p>
    <w:p w:rsidR="00860130" w:rsidRPr="005070F9" w:rsidRDefault="00E4315D" w:rsidP="00860130">
      <w:pPr>
        <w:spacing w:line="200" w:lineRule="atLeast"/>
        <w:jc w:val="center"/>
        <w:rPr>
          <w:rFonts w:cs="Arial"/>
          <w:color w:val="FF0000"/>
          <w:sz w:val="20"/>
          <w:lang w:val="cs-CZ"/>
        </w:rPr>
      </w:pPr>
      <w:r w:rsidRPr="005070F9">
        <w:rPr>
          <w:rFonts w:cs="Arial"/>
          <w:color w:val="FF0000"/>
          <w:sz w:val="20"/>
          <w:lang w:val="cs-CZ"/>
        </w:rPr>
        <w:t>Ulice č.</w:t>
      </w:r>
    </w:p>
    <w:p w:rsidR="00860130" w:rsidRPr="005070F9" w:rsidRDefault="008601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860130" w:rsidRPr="005070F9" w:rsidRDefault="00EE3D33" w:rsidP="00860130">
      <w:pPr>
        <w:spacing w:line="200" w:lineRule="atLeast"/>
        <w:jc w:val="center"/>
        <w:rPr>
          <w:rFonts w:cs="Arial"/>
          <w:color w:val="FF0000"/>
          <w:sz w:val="20"/>
          <w:lang w:val="cs-CZ"/>
        </w:rPr>
      </w:pPr>
      <w:r w:rsidRPr="005070F9">
        <w:rPr>
          <w:rFonts w:cs="Arial"/>
          <w:color w:val="FF0000"/>
          <w:sz w:val="20"/>
          <w:lang w:val="cs-CZ"/>
        </w:rPr>
        <w:t>PSČ</w:t>
      </w:r>
      <w:r w:rsidR="00860130" w:rsidRPr="005070F9">
        <w:rPr>
          <w:rFonts w:cs="Arial"/>
          <w:color w:val="FF0000"/>
          <w:sz w:val="20"/>
          <w:lang w:val="cs-CZ"/>
        </w:rPr>
        <w:t xml:space="preserve"> a </w:t>
      </w:r>
      <w:r w:rsidRPr="005070F9">
        <w:rPr>
          <w:rFonts w:cs="Arial"/>
          <w:color w:val="FF0000"/>
          <w:sz w:val="20"/>
          <w:lang w:val="cs-CZ"/>
        </w:rPr>
        <w:t>město</w:t>
      </w:r>
    </w:p>
    <w:p w:rsidR="00860130" w:rsidRPr="005070F9" w:rsidRDefault="008601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860130" w:rsidRDefault="00EE3D33" w:rsidP="00860130">
      <w:pPr>
        <w:spacing w:line="200" w:lineRule="atLeast"/>
        <w:jc w:val="center"/>
        <w:rPr>
          <w:rFonts w:cs="Arial"/>
          <w:color w:val="FF0000"/>
          <w:sz w:val="20"/>
          <w:lang w:val="cs-CZ"/>
        </w:rPr>
      </w:pPr>
      <w:r w:rsidRPr="005070F9">
        <w:rPr>
          <w:rFonts w:cs="Arial"/>
          <w:color w:val="FF0000"/>
          <w:sz w:val="20"/>
          <w:lang w:val="cs-CZ"/>
        </w:rPr>
        <w:t>S</w:t>
      </w:r>
      <w:r w:rsidR="00F53AB1">
        <w:rPr>
          <w:rFonts w:cs="Arial"/>
          <w:color w:val="FF0000"/>
          <w:sz w:val="20"/>
          <w:lang w:val="cs-CZ"/>
        </w:rPr>
        <w:t>tát</w:t>
      </w:r>
    </w:p>
    <w:p w:rsidR="00C52E93" w:rsidRDefault="00C52E93" w:rsidP="00860130">
      <w:pPr>
        <w:spacing w:line="200" w:lineRule="atLeast"/>
        <w:jc w:val="center"/>
        <w:rPr>
          <w:rFonts w:cs="Arial"/>
          <w:color w:val="FF0000"/>
          <w:sz w:val="20"/>
          <w:lang w:val="cs-CZ"/>
        </w:rPr>
      </w:pPr>
    </w:p>
    <w:p w:rsidR="00C52E93" w:rsidRPr="005070F9" w:rsidRDefault="00C52E93" w:rsidP="00860130">
      <w:pPr>
        <w:spacing w:line="200" w:lineRule="atLeast"/>
        <w:jc w:val="center"/>
        <w:rPr>
          <w:rFonts w:cs="Arial"/>
          <w:color w:val="FF0000"/>
          <w:sz w:val="20"/>
          <w:lang w:val="cs-CZ"/>
        </w:rPr>
      </w:pPr>
      <w:r>
        <w:rPr>
          <w:rFonts w:cs="Arial"/>
          <w:color w:val="FF0000"/>
          <w:sz w:val="20"/>
          <w:lang w:val="cs-CZ"/>
        </w:rPr>
        <w:t>DIČ:</w:t>
      </w:r>
    </w:p>
    <w:p w:rsidR="00860130" w:rsidRPr="005070F9" w:rsidRDefault="008601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860130" w:rsidRPr="005070F9" w:rsidRDefault="00860130" w:rsidP="00860130">
      <w:pPr>
        <w:spacing w:line="200" w:lineRule="atLeast"/>
        <w:jc w:val="center"/>
        <w:rPr>
          <w:rFonts w:cs="Arial"/>
          <w:sz w:val="20"/>
          <w:szCs w:val="20"/>
          <w:lang w:val="cs-CZ"/>
        </w:rPr>
      </w:pPr>
      <w:r w:rsidRPr="005070F9">
        <w:rPr>
          <w:rFonts w:cs="Arial"/>
          <w:sz w:val="20"/>
          <w:szCs w:val="20"/>
          <w:lang w:val="cs-CZ"/>
        </w:rPr>
        <w:t>(</w:t>
      </w:r>
      <w:r w:rsidR="00EE3D33" w:rsidRPr="005070F9">
        <w:rPr>
          <w:rFonts w:cs="Arial"/>
          <w:sz w:val="20"/>
          <w:lang w:val="cs-CZ"/>
        </w:rPr>
        <w:t>d</w:t>
      </w:r>
      <w:r w:rsidR="005070F9">
        <w:rPr>
          <w:rFonts w:cs="Arial"/>
          <w:sz w:val="20"/>
          <w:lang w:val="cs-CZ"/>
        </w:rPr>
        <w:t>á</w:t>
      </w:r>
      <w:r w:rsidR="00EE3D33" w:rsidRPr="005070F9">
        <w:rPr>
          <w:rFonts w:cs="Arial"/>
          <w:sz w:val="20"/>
          <w:lang w:val="cs-CZ"/>
        </w:rPr>
        <w:t>le jen</w:t>
      </w:r>
      <w:r w:rsidRPr="005070F9">
        <w:rPr>
          <w:rFonts w:cs="Arial"/>
          <w:sz w:val="20"/>
          <w:szCs w:val="20"/>
          <w:lang w:val="cs-CZ"/>
        </w:rPr>
        <w:t xml:space="preserve"> "</w:t>
      </w:r>
      <w:r w:rsidR="00EE3D33" w:rsidRPr="005070F9">
        <w:rPr>
          <w:rFonts w:cs="Arial"/>
          <w:sz w:val="20"/>
          <w:szCs w:val="20"/>
          <w:lang w:val="cs-CZ"/>
        </w:rPr>
        <w:t xml:space="preserve">SMLUVNÍ </w:t>
      </w:r>
      <w:r w:rsidR="00BE3EAC" w:rsidRPr="005070F9">
        <w:rPr>
          <w:rFonts w:cs="Arial"/>
          <w:sz w:val="20"/>
          <w:szCs w:val="20"/>
          <w:lang w:val="cs-CZ"/>
        </w:rPr>
        <w:t>PARTNER</w:t>
      </w:r>
      <w:r w:rsidRPr="005070F9">
        <w:rPr>
          <w:rFonts w:cs="Arial"/>
          <w:sz w:val="20"/>
          <w:szCs w:val="20"/>
          <w:lang w:val="cs-CZ"/>
        </w:rPr>
        <w:t>”)</w:t>
      </w:r>
    </w:p>
    <w:p w:rsidR="002B2E30" w:rsidRPr="005070F9" w:rsidRDefault="002B2E30" w:rsidP="00860130">
      <w:pPr>
        <w:spacing w:line="200" w:lineRule="atLeast"/>
        <w:jc w:val="center"/>
        <w:rPr>
          <w:rFonts w:cs="Arial"/>
          <w:sz w:val="20"/>
          <w:szCs w:val="20"/>
          <w:lang w:val="cs-CZ"/>
        </w:rPr>
      </w:pPr>
    </w:p>
    <w:p w:rsidR="002B2E30" w:rsidRPr="005070F9" w:rsidRDefault="002B2E30" w:rsidP="00860130">
      <w:pPr>
        <w:spacing w:line="200" w:lineRule="atLeast"/>
        <w:jc w:val="center"/>
        <w:rPr>
          <w:rFonts w:cs="Arial"/>
          <w:sz w:val="20"/>
          <w:szCs w:val="20"/>
          <w:lang w:val="cs-CZ"/>
        </w:rPr>
      </w:pPr>
    </w:p>
    <w:p w:rsidR="002B2E30" w:rsidRPr="005070F9" w:rsidRDefault="00EE3D33" w:rsidP="002B2E30">
      <w:pPr>
        <w:spacing w:line="200" w:lineRule="atLeast"/>
        <w:jc w:val="center"/>
        <w:rPr>
          <w:rFonts w:cs="Arial"/>
          <w:sz w:val="20"/>
          <w:lang w:val="cs-CZ"/>
        </w:rPr>
      </w:pPr>
      <w:r w:rsidRPr="005070F9">
        <w:rPr>
          <w:rFonts w:cs="Arial"/>
          <w:sz w:val="20"/>
          <w:lang w:val="cs-CZ"/>
        </w:rPr>
        <w:t>a</w:t>
      </w:r>
    </w:p>
    <w:p w:rsidR="00860130" w:rsidRPr="005070F9" w:rsidRDefault="008601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2B2E30" w:rsidRPr="005070F9" w:rsidRDefault="002B2E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2B2E30" w:rsidRDefault="002B2E30" w:rsidP="00C52E93">
      <w:pPr>
        <w:spacing w:line="240" w:lineRule="auto"/>
        <w:jc w:val="center"/>
        <w:rPr>
          <w:rFonts w:cs="Arial"/>
          <w:b/>
          <w:sz w:val="20"/>
          <w:lang w:val="cs-CZ"/>
        </w:rPr>
      </w:pPr>
      <w:r w:rsidRPr="005070F9">
        <w:rPr>
          <w:rFonts w:cs="Arial"/>
          <w:b/>
          <w:sz w:val="20"/>
          <w:lang w:val="cs-CZ"/>
        </w:rPr>
        <w:t>EPCOS s.r.o.</w:t>
      </w:r>
    </w:p>
    <w:p w:rsidR="00C52E93" w:rsidRPr="005070F9" w:rsidRDefault="00C52E93" w:rsidP="00C52E93">
      <w:pPr>
        <w:spacing w:line="240" w:lineRule="auto"/>
        <w:jc w:val="center"/>
        <w:rPr>
          <w:rFonts w:cs="Arial"/>
          <w:b/>
          <w:sz w:val="20"/>
          <w:lang w:val="cs-CZ"/>
        </w:rPr>
      </w:pPr>
    </w:p>
    <w:p w:rsidR="002B2E30" w:rsidRDefault="002B2E30" w:rsidP="00C52E93">
      <w:pPr>
        <w:tabs>
          <w:tab w:val="left" w:pos="0"/>
          <w:tab w:val="left" w:pos="1440"/>
          <w:tab w:val="left" w:pos="1872"/>
          <w:tab w:val="left" w:pos="2304"/>
        </w:tabs>
        <w:spacing w:line="240" w:lineRule="auto"/>
        <w:jc w:val="center"/>
        <w:rPr>
          <w:rFonts w:cs="Arial"/>
          <w:sz w:val="20"/>
          <w:lang w:val="cs-CZ"/>
        </w:rPr>
      </w:pPr>
      <w:r w:rsidRPr="005070F9">
        <w:rPr>
          <w:rFonts w:cs="Arial"/>
          <w:sz w:val="20"/>
          <w:lang w:val="cs-CZ"/>
        </w:rPr>
        <w:t>Feritová 2945/1</w:t>
      </w:r>
    </w:p>
    <w:p w:rsidR="00C52E93" w:rsidRPr="005070F9" w:rsidRDefault="00C52E93" w:rsidP="00C52E93">
      <w:pPr>
        <w:tabs>
          <w:tab w:val="left" w:pos="0"/>
          <w:tab w:val="left" w:pos="1440"/>
          <w:tab w:val="left" w:pos="1872"/>
          <w:tab w:val="left" w:pos="2304"/>
        </w:tabs>
        <w:spacing w:line="240" w:lineRule="auto"/>
        <w:jc w:val="center"/>
        <w:rPr>
          <w:rFonts w:cs="Arial"/>
          <w:sz w:val="20"/>
          <w:lang w:val="cs-CZ"/>
        </w:rPr>
      </w:pPr>
    </w:p>
    <w:p w:rsidR="00C52E93" w:rsidRDefault="002B2E30" w:rsidP="00C52E93">
      <w:pPr>
        <w:tabs>
          <w:tab w:val="left" w:pos="0"/>
          <w:tab w:val="left" w:pos="1440"/>
          <w:tab w:val="left" w:pos="1872"/>
          <w:tab w:val="left" w:pos="2304"/>
        </w:tabs>
        <w:spacing w:line="240" w:lineRule="auto"/>
        <w:jc w:val="center"/>
        <w:rPr>
          <w:rFonts w:cs="Arial"/>
          <w:sz w:val="20"/>
          <w:lang w:val="cs-CZ"/>
        </w:rPr>
      </w:pPr>
      <w:r w:rsidRPr="005070F9">
        <w:rPr>
          <w:rFonts w:cs="Arial"/>
          <w:sz w:val="20"/>
          <w:lang w:val="cs-CZ"/>
        </w:rPr>
        <w:t>CZ-787 15 Šumperk</w:t>
      </w:r>
    </w:p>
    <w:p w:rsidR="00C52E93" w:rsidRDefault="00C52E93" w:rsidP="00C52E93">
      <w:pPr>
        <w:tabs>
          <w:tab w:val="left" w:pos="0"/>
          <w:tab w:val="left" w:pos="1440"/>
          <w:tab w:val="left" w:pos="1872"/>
          <w:tab w:val="left" w:pos="2304"/>
        </w:tabs>
        <w:spacing w:line="240" w:lineRule="auto"/>
        <w:jc w:val="center"/>
        <w:rPr>
          <w:rFonts w:cs="Arial"/>
          <w:sz w:val="20"/>
          <w:lang w:val="cs-CZ"/>
        </w:rPr>
      </w:pPr>
    </w:p>
    <w:p w:rsidR="002B2E30" w:rsidRDefault="00EE3D33" w:rsidP="00C52E93">
      <w:pPr>
        <w:tabs>
          <w:tab w:val="left" w:pos="0"/>
          <w:tab w:val="left" w:pos="1440"/>
          <w:tab w:val="left" w:pos="1872"/>
          <w:tab w:val="left" w:pos="2304"/>
        </w:tabs>
        <w:spacing w:line="240" w:lineRule="auto"/>
        <w:jc w:val="center"/>
        <w:rPr>
          <w:rFonts w:cs="Arial"/>
          <w:sz w:val="20"/>
          <w:lang w:val="cs-CZ"/>
        </w:rPr>
      </w:pPr>
      <w:r w:rsidRPr="005070F9">
        <w:rPr>
          <w:rFonts w:cs="Arial"/>
          <w:sz w:val="20"/>
          <w:lang w:val="cs-CZ"/>
        </w:rPr>
        <w:t>Česká republika</w:t>
      </w:r>
    </w:p>
    <w:p w:rsidR="00C52E93" w:rsidRPr="005070F9" w:rsidRDefault="00C52E93" w:rsidP="00C52E93">
      <w:pPr>
        <w:tabs>
          <w:tab w:val="left" w:pos="0"/>
          <w:tab w:val="left" w:pos="1440"/>
          <w:tab w:val="left" w:pos="1872"/>
          <w:tab w:val="left" w:pos="2304"/>
        </w:tabs>
        <w:spacing w:line="240" w:lineRule="auto"/>
        <w:jc w:val="center"/>
        <w:rPr>
          <w:rFonts w:cs="Arial"/>
          <w:sz w:val="20"/>
          <w:lang w:val="cs-CZ"/>
        </w:rPr>
      </w:pPr>
    </w:p>
    <w:p w:rsidR="002B2E30" w:rsidRPr="005070F9" w:rsidRDefault="00EE3D33" w:rsidP="00C52E93">
      <w:pPr>
        <w:tabs>
          <w:tab w:val="left" w:pos="0"/>
          <w:tab w:val="left" w:pos="1440"/>
          <w:tab w:val="left" w:pos="1872"/>
          <w:tab w:val="left" w:pos="2304"/>
        </w:tabs>
        <w:spacing w:line="240" w:lineRule="auto"/>
        <w:jc w:val="center"/>
        <w:rPr>
          <w:rFonts w:cs="Arial"/>
          <w:sz w:val="20"/>
          <w:lang w:val="cs-CZ"/>
        </w:rPr>
      </w:pPr>
      <w:r w:rsidRPr="005070F9">
        <w:rPr>
          <w:rFonts w:cs="Arial"/>
          <w:sz w:val="20"/>
          <w:lang w:val="cs-CZ"/>
        </w:rPr>
        <w:t>DIČ</w:t>
      </w:r>
      <w:r w:rsidR="002B2E30" w:rsidRPr="005070F9">
        <w:rPr>
          <w:rFonts w:cs="Arial"/>
          <w:sz w:val="20"/>
          <w:lang w:val="cs-CZ"/>
        </w:rPr>
        <w:t>: CZ25569341</w:t>
      </w:r>
    </w:p>
    <w:p w:rsidR="002B2E30" w:rsidRPr="005070F9" w:rsidRDefault="002B2E30" w:rsidP="002B2E30">
      <w:pPr>
        <w:tabs>
          <w:tab w:val="left" w:pos="0"/>
          <w:tab w:val="left" w:pos="1440"/>
          <w:tab w:val="left" w:pos="1872"/>
          <w:tab w:val="left" w:pos="2304"/>
        </w:tabs>
        <w:jc w:val="center"/>
        <w:rPr>
          <w:rFonts w:cs="Arial"/>
          <w:sz w:val="20"/>
          <w:lang w:val="cs-CZ"/>
        </w:rPr>
      </w:pPr>
    </w:p>
    <w:p w:rsidR="002B2E30" w:rsidRPr="005070F9" w:rsidRDefault="002B2E30" w:rsidP="002B2E30">
      <w:pPr>
        <w:spacing w:line="200" w:lineRule="atLeast"/>
        <w:jc w:val="center"/>
        <w:rPr>
          <w:rFonts w:cs="Arial"/>
          <w:sz w:val="20"/>
          <w:lang w:val="cs-CZ"/>
        </w:rPr>
      </w:pPr>
      <w:r w:rsidRPr="005070F9">
        <w:rPr>
          <w:rFonts w:cs="Arial"/>
          <w:sz w:val="20"/>
          <w:lang w:val="cs-CZ"/>
        </w:rPr>
        <w:t>(</w:t>
      </w:r>
      <w:r w:rsidR="00EE3D33" w:rsidRPr="005070F9">
        <w:rPr>
          <w:rFonts w:cs="Arial"/>
          <w:sz w:val="20"/>
          <w:lang w:val="cs-CZ"/>
        </w:rPr>
        <w:t>d</w:t>
      </w:r>
      <w:r w:rsidR="00BE3EAC" w:rsidRPr="005070F9">
        <w:rPr>
          <w:rFonts w:cs="Arial"/>
          <w:sz w:val="20"/>
          <w:lang w:val="cs-CZ"/>
        </w:rPr>
        <w:t>á</w:t>
      </w:r>
      <w:r w:rsidR="00EE3D33" w:rsidRPr="005070F9">
        <w:rPr>
          <w:rFonts w:cs="Arial"/>
          <w:sz w:val="20"/>
          <w:lang w:val="cs-CZ"/>
        </w:rPr>
        <w:t>le jen</w:t>
      </w:r>
      <w:r w:rsidRPr="005070F9">
        <w:rPr>
          <w:rFonts w:cs="Arial"/>
          <w:sz w:val="20"/>
          <w:lang w:val="cs-CZ"/>
        </w:rPr>
        <w:t xml:space="preserve"> “EPCOS”)</w:t>
      </w:r>
    </w:p>
    <w:p w:rsidR="002B2E30" w:rsidRPr="005070F9" w:rsidRDefault="002B2E30" w:rsidP="002B2E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860130" w:rsidRPr="005070F9" w:rsidRDefault="008601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2B2E30" w:rsidRPr="005070F9" w:rsidRDefault="002B2E30" w:rsidP="00860130">
      <w:pPr>
        <w:spacing w:line="200" w:lineRule="atLeast"/>
        <w:jc w:val="center"/>
        <w:rPr>
          <w:rFonts w:cs="Arial"/>
          <w:sz w:val="20"/>
          <w:lang w:val="cs-CZ"/>
        </w:rPr>
      </w:pPr>
    </w:p>
    <w:p w:rsidR="00860130" w:rsidRPr="005070F9" w:rsidRDefault="002B2E30" w:rsidP="00860130">
      <w:pPr>
        <w:spacing w:line="200" w:lineRule="atLeast"/>
        <w:jc w:val="center"/>
        <w:rPr>
          <w:rFonts w:cs="Arial"/>
          <w:sz w:val="20"/>
          <w:lang w:val="cs-CZ"/>
        </w:rPr>
      </w:pPr>
      <w:r w:rsidRPr="005070F9">
        <w:rPr>
          <w:rFonts w:cs="Arial"/>
          <w:sz w:val="20"/>
          <w:lang w:val="cs-CZ"/>
        </w:rPr>
        <w:t xml:space="preserve">- </w:t>
      </w:r>
      <w:r w:rsidR="00BE3EAC" w:rsidRPr="005070F9">
        <w:rPr>
          <w:rFonts w:cs="Arial"/>
          <w:sz w:val="20"/>
          <w:lang w:val="cs-CZ"/>
        </w:rPr>
        <w:t>SMLUVNÍ PARTNER a</w:t>
      </w:r>
      <w:r w:rsidRPr="005070F9">
        <w:rPr>
          <w:rFonts w:cs="Arial"/>
          <w:sz w:val="20"/>
          <w:lang w:val="cs-CZ"/>
        </w:rPr>
        <w:t xml:space="preserve"> </w:t>
      </w:r>
      <w:r w:rsidR="00860130" w:rsidRPr="005070F9">
        <w:rPr>
          <w:rFonts w:cs="Arial"/>
          <w:sz w:val="20"/>
          <w:lang w:val="cs-CZ"/>
        </w:rPr>
        <w:t xml:space="preserve">EPCOS </w:t>
      </w:r>
      <w:r w:rsidR="00BE3EAC" w:rsidRPr="005070F9">
        <w:rPr>
          <w:rFonts w:cs="Arial"/>
          <w:sz w:val="20"/>
          <w:lang w:val="cs-CZ"/>
        </w:rPr>
        <w:t xml:space="preserve">dále jen </w:t>
      </w:r>
      <w:r w:rsidR="00860130" w:rsidRPr="005070F9">
        <w:rPr>
          <w:rFonts w:cs="Arial"/>
          <w:sz w:val="20"/>
          <w:lang w:val="cs-CZ"/>
        </w:rPr>
        <w:t>“</w:t>
      </w:r>
      <w:r w:rsidR="00BE3EAC" w:rsidRPr="005070F9">
        <w:rPr>
          <w:rFonts w:cs="Arial"/>
          <w:sz w:val="20"/>
          <w:lang w:val="cs-CZ"/>
        </w:rPr>
        <w:t>Smluvní strany</w:t>
      </w:r>
      <w:r w:rsidR="00860130" w:rsidRPr="005070F9">
        <w:rPr>
          <w:rFonts w:cs="Arial"/>
          <w:sz w:val="20"/>
          <w:lang w:val="cs-CZ"/>
        </w:rPr>
        <w:t>”</w:t>
      </w:r>
      <w:r w:rsidRPr="005070F9">
        <w:rPr>
          <w:rFonts w:cs="Arial"/>
          <w:sz w:val="20"/>
          <w:lang w:val="cs-CZ"/>
        </w:rPr>
        <w:t xml:space="preserve"> -</w:t>
      </w:r>
    </w:p>
    <w:p w:rsidR="00860130" w:rsidRDefault="00860130" w:rsidP="00860130">
      <w:pPr>
        <w:jc w:val="both"/>
        <w:rPr>
          <w:sz w:val="20"/>
          <w:lang w:val="cs-CZ"/>
        </w:rPr>
      </w:pPr>
    </w:p>
    <w:p w:rsidR="00C52E93" w:rsidRPr="005070F9" w:rsidRDefault="00C52E93" w:rsidP="00860130">
      <w:pPr>
        <w:jc w:val="both"/>
        <w:rPr>
          <w:sz w:val="20"/>
          <w:lang w:val="cs-CZ"/>
        </w:rPr>
      </w:pPr>
    </w:p>
    <w:p w:rsidR="00860130" w:rsidRPr="005070F9" w:rsidRDefault="00860130" w:rsidP="00860130">
      <w:pPr>
        <w:jc w:val="both"/>
        <w:rPr>
          <w:sz w:val="20"/>
          <w:lang w:val="cs-CZ"/>
        </w:rPr>
      </w:pPr>
    </w:p>
    <w:p w:rsidR="00860130" w:rsidRPr="005070F9" w:rsidRDefault="005070F9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5070F9">
        <w:rPr>
          <w:rFonts w:ascii="Arial" w:hAnsi="Arial"/>
          <w:sz w:val="24"/>
          <w:lang w:val="cs-CZ"/>
        </w:rPr>
        <w:t>Obecná ustanovení</w:t>
      </w:r>
    </w:p>
    <w:p w:rsidR="00860130" w:rsidRPr="005070F9" w:rsidRDefault="005070F9" w:rsidP="00860130">
      <w:pPr>
        <w:pStyle w:val="Zkladntext2"/>
        <w:numPr>
          <w:ilvl w:val="1"/>
          <w:numId w:val="3"/>
        </w:numPr>
        <w:tabs>
          <w:tab w:val="clear" w:pos="576"/>
        </w:tabs>
        <w:ind w:left="426" w:hanging="426"/>
        <w:jc w:val="both"/>
        <w:rPr>
          <w:lang w:val="cs-CZ"/>
        </w:rPr>
      </w:pPr>
      <w:r w:rsidRPr="005070F9">
        <w:rPr>
          <w:lang w:val="cs-CZ"/>
        </w:rPr>
        <w:t>Právní vztahy mezi SMLUVNÍM PARTNEREM a EPCOS se řídí těmito ustanoveními. EPCOS znamená (i) EPCOS AG, Německo ("EPCOS AG") a/nebo (</w:t>
      </w:r>
      <w:proofErr w:type="spellStart"/>
      <w:r w:rsidRPr="005070F9">
        <w:rPr>
          <w:lang w:val="cs-CZ"/>
        </w:rPr>
        <w:t>ii</w:t>
      </w:r>
      <w:proofErr w:type="spellEnd"/>
      <w:r w:rsidRPr="005070F9">
        <w:rPr>
          <w:lang w:val="cs-CZ"/>
        </w:rPr>
        <w:t>) jak</w:t>
      </w:r>
      <w:r>
        <w:rPr>
          <w:lang w:val="cs-CZ"/>
        </w:rPr>
        <w:t>ouko</w:t>
      </w:r>
      <w:r w:rsidRPr="005070F9">
        <w:rPr>
          <w:lang w:val="cs-CZ"/>
        </w:rPr>
        <w:t>liv společnost, která je ovládána EPCOS AG a/nebo (</w:t>
      </w:r>
      <w:proofErr w:type="spellStart"/>
      <w:r w:rsidRPr="005070F9">
        <w:rPr>
          <w:lang w:val="cs-CZ"/>
        </w:rPr>
        <w:t>iii</w:t>
      </w:r>
      <w:proofErr w:type="spellEnd"/>
      <w:r w:rsidRPr="005070F9">
        <w:rPr>
          <w:lang w:val="cs-CZ"/>
        </w:rPr>
        <w:t>) jak</w:t>
      </w:r>
      <w:r>
        <w:rPr>
          <w:lang w:val="cs-CZ"/>
        </w:rPr>
        <w:t>ouk</w:t>
      </w:r>
      <w:r w:rsidRPr="005070F9">
        <w:rPr>
          <w:lang w:val="cs-CZ"/>
        </w:rPr>
        <w:t>oliv spol</w:t>
      </w:r>
      <w:r w:rsidR="00B2488B">
        <w:rPr>
          <w:lang w:val="cs-CZ"/>
        </w:rPr>
        <w:t>ečnost, která ovládá EPCOS AG a</w:t>
      </w:r>
      <w:r w:rsidRPr="005070F9">
        <w:rPr>
          <w:lang w:val="cs-CZ"/>
        </w:rPr>
        <w:t>/nebo (</w:t>
      </w:r>
      <w:proofErr w:type="spellStart"/>
      <w:r w:rsidRPr="005070F9">
        <w:rPr>
          <w:lang w:val="cs-CZ"/>
        </w:rPr>
        <w:t>iv</w:t>
      </w:r>
      <w:proofErr w:type="spellEnd"/>
      <w:r w:rsidRPr="005070F9">
        <w:rPr>
          <w:lang w:val="cs-CZ"/>
        </w:rPr>
        <w:t>) jak</w:t>
      </w:r>
      <w:r>
        <w:rPr>
          <w:lang w:val="cs-CZ"/>
        </w:rPr>
        <w:t>ouk</w:t>
      </w:r>
      <w:r w:rsidRPr="005070F9">
        <w:rPr>
          <w:lang w:val="cs-CZ"/>
        </w:rPr>
        <w:t>oliv společnost, která je řízena stejnou společností, která ovládá EPCOS AG a/nebo (v) jak</w:t>
      </w:r>
      <w:r>
        <w:rPr>
          <w:lang w:val="cs-CZ"/>
        </w:rPr>
        <w:t>ouk</w:t>
      </w:r>
      <w:r w:rsidRPr="005070F9">
        <w:rPr>
          <w:lang w:val="cs-CZ"/>
        </w:rPr>
        <w:t>oliv společnost, která je řízena EPCOS (včetně EPCOS s.r.o.)</w:t>
      </w:r>
      <w:r>
        <w:rPr>
          <w:lang w:val="cs-CZ"/>
        </w:rPr>
        <w:t>. Současné</w:t>
      </w:r>
      <w:r w:rsidRPr="005070F9">
        <w:rPr>
          <w:lang w:val="cs-CZ"/>
        </w:rPr>
        <w:t xml:space="preserve"> konkrétní podmínky nákupu se vztahuj</w:t>
      </w:r>
      <w:r>
        <w:rPr>
          <w:lang w:val="cs-CZ"/>
        </w:rPr>
        <w:t>í</w:t>
      </w:r>
      <w:r w:rsidRPr="005070F9">
        <w:rPr>
          <w:lang w:val="cs-CZ"/>
        </w:rPr>
        <w:t xml:space="preserve"> na všechny objednávky </w:t>
      </w:r>
      <w:r>
        <w:rPr>
          <w:lang w:val="cs-CZ"/>
        </w:rPr>
        <w:t xml:space="preserve">vystavené </w:t>
      </w:r>
      <w:r w:rsidRPr="005070F9">
        <w:rPr>
          <w:lang w:val="cs-CZ"/>
        </w:rPr>
        <w:t xml:space="preserve">EPCOS </w:t>
      </w:r>
      <w:r>
        <w:rPr>
          <w:lang w:val="cs-CZ"/>
        </w:rPr>
        <w:t>na adresu</w:t>
      </w:r>
      <w:r w:rsidRPr="005070F9">
        <w:rPr>
          <w:lang w:val="cs-CZ"/>
        </w:rPr>
        <w:t xml:space="preserve"> </w:t>
      </w:r>
      <w:r>
        <w:rPr>
          <w:lang w:val="cs-CZ"/>
        </w:rPr>
        <w:t>SMLUVNÍHO PARTNERA</w:t>
      </w:r>
      <w:r w:rsidRPr="005070F9">
        <w:rPr>
          <w:lang w:val="cs-CZ"/>
        </w:rPr>
        <w:t xml:space="preserve"> </w:t>
      </w:r>
      <w:r>
        <w:rPr>
          <w:lang w:val="cs-CZ"/>
        </w:rPr>
        <w:t xml:space="preserve">na </w:t>
      </w:r>
      <w:r w:rsidRPr="005070F9">
        <w:rPr>
          <w:lang w:val="cs-CZ"/>
        </w:rPr>
        <w:t xml:space="preserve">dodávky a služby, pokud není v jednotlivých případech písemně dohodnuto jinak. Jakékoliv jiné všeobecné obchodní podmínky </w:t>
      </w:r>
      <w:r>
        <w:rPr>
          <w:lang w:val="cs-CZ"/>
        </w:rPr>
        <w:t>nejsou platné</w:t>
      </w:r>
      <w:r w:rsidRPr="005070F9">
        <w:rPr>
          <w:lang w:val="cs-CZ"/>
        </w:rPr>
        <w:t>. Změny a</w:t>
      </w:r>
      <w:r w:rsidR="000321F0">
        <w:rPr>
          <w:lang w:val="cs-CZ"/>
        </w:rPr>
        <w:t xml:space="preserve"> </w:t>
      </w:r>
      <w:r w:rsidRPr="005070F9">
        <w:rPr>
          <w:lang w:val="cs-CZ"/>
        </w:rPr>
        <w:t xml:space="preserve">doplňky musí být </w:t>
      </w:r>
      <w:r>
        <w:rPr>
          <w:lang w:val="cs-CZ"/>
        </w:rPr>
        <w:t xml:space="preserve">provedeny </w:t>
      </w:r>
      <w:r w:rsidRPr="005070F9">
        <w:rPr>
          <w:lang w:val="cs-CZ"/>
        </w:rPr>
        <w:t>v písemné formě</w:t>
      </w:r>
      <w:r>
        <w:rPr>
          <w:lang w:val="cs-CZ"/>
        </w:rPr>
        <w:t>, aby byly</w:t>
      </w:r>
      <w:r w:rsidRPr="005070F9">
        <w:rPr>
          <w:lang w:val="cs-CZ"/>
        </w:rPr>
        <w:t xml:space="preserve"> platné. Žádný výslovný odkaz na tato ustanovení </w:t>
      </w:r>
      <w:r w:rsidR="00F65E11">
        <w:rPr>
          <w:lang w:val="cs-CZ"/>
        </w:rPr>
        <w:t>není</w:t>
      </w:r>
      <w:r w:rsidRPr="005070F9">
        <w:rPr>
          <w:lang w:val="cs-CZ"/>
        </w:rPr>
        <w:t xml:space="preserve"> při </w:t>
      </w:r>
      <w:r>
        <w:rPr>
          <w:lang w:val="cs-CZ"/>
        </w:rPr>
        <w:t xml:space="preserve">vystavení </w:t>
      </w:r>
      <w:r w:rsidRPr="005070F9">
        <w:rPr>
          <w:lang w:val="cs-CZ"/>
        </w:rPr>
        <w:t>objednáv</w:t>
      </w:r>
      <w:r>
        <w:rPr>
          <w:lang w:val="cs-CZ"/>
        </w:rPr>
        <w:t>ky nutný</w:t>
      </w:r>
      <w:r w:rsidR="00860130" w:rsidRPr="005070F9">
        <w:rPr>
          <w:lang w:val="cs-CZ"/>
        </w:rPr>
        <w:t>.</w:t>
      </w:r>
    </w:p>
    <w:p w:rsidR="00860130" w:rsidRPr="005070F9" w:rsidRDefault="00860130" w:rsidP="00860130">
      <w:pPr>
        <w:jc w:val="both"/>
        <w:rPr>
          <w:sz w:val="20"/>
          <w:lang w:val="cs-CZ"/>
        </w:rPr>
      </w:pPr>
    </w:p>
    <w:p w:rsidR="0056792A" w:rsidRPr="005070F9" w:rsidRDefault="0056792A" w:rsidP="00860130">
      <w:pPr>
        <w:jc w:val="both"/>
        <w:rPr>
          <w:sz w:val="20"/>
          <w:lang w:val="cs-CZ"/>
        </w:rPr>
      </w:pPr>
    </w:p>
    <w:p w:rsidR="00860130" w:rsidRPr="00506354" w:rsidRDefault="000321F0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506354">
        <w:rPr>
          <w:rFonts w:ascii="Arial" w:hAnsi="Arial"/>
          <w:sz w:val="24"/>
          <w:lang w:val="cs-CZ"/>
        </w:rPr>
        <w:t>Objednávky</w:t>
      </w:r>
    </w:p>
    <w:p w:rsidR="00860130" w:rsidRPr="00506354" w:rsidRDefault="00506354" w:rsidP="00860130">
      <w:pPr>
        <w:numPr>
          <w:ilvl w:val="1"/>
          <w:numId w:val="1"/>
        </w:numPr>
        <w:spacing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O</w:t>
      </w:r>
      <w:r w:rsidRPr="00506354">
        <w:rPr>
          <w:sz w:val="20"/>
          <w:lang w:val="cs-CZ"/>
        </w:rPr>
        <w:t xml:space="preserve">bjednávky </w:t>
      </w:r>
      <w:r>
        <w:rPr>
          <w:sz w:val="20"/>
          <w:lang w:val="cs-CZ"/>
        </w:rPr>
        <w:t xml:space="preserve">vystavené </w:t>
      </w:r>
      <w:r w:rsidRPr="00506354">
        <w:rPr>
          <w:sz w:val="20"/>
          <w:lang w:val="cs-CZ"/>
        </w:rPr>
        <w:t xml:space="preserve">EPCOS musí být potvrzeny písemně </w:t>
      </w:r>
      <w:r w:rsidRPr="001A74D3">
        <w:rPr>
          <w:sz w:val="20"/>
          <w:lang w:val="cs-CZ"/>
        </w:rPr>
        <w:t>do tří</w:t>
      </w:r>
      <w:r w:rsidRPr="00506354">
        <w:rPr>
          <w:sz w:val="20"/>
          <w:lang w:val="cs-CZ"/>
        </w:rPr>
        <w:t xml:space="preserve"> dnů. EPCOS neakceptuje </w:t>
      </w:r>
      <w:r>
        <w:rPr>
          <w:sz w:val="20"/>
          <w:lang w:val="cs-CZ"/>
        </w:rPr>
        <w:t>všeobecné obchodní p</w:t>
      </w:r>
      <w:r w:rsidRPr="00506354">
        <w:rPr>
          <w:sz w:val="20"/>
          <w:lang w:val="cs-CZ"/>
        </w:rPr>
        <w:t xml:space="preserve">odmínky </w:t>
      </w:r>
      <w:r>
        <w:rPr>
          <w:sz w:val="20"/>
          <w:lang w:val="cs-CZ"/>
        </w:rPr>
        <w:t>SMLUVNÍHO PARTNERA.</w:t>
      </w:r>
    </w:p>
    <w:p w:rsidR="00860130" w:rsidRPr="00506354" w:rsidRDefault="00860130" w:rsidP="00860130">
      <w:pPr>
        <w:spacing w:line="240" w:lineRule="auto"/>
        <w:jc w:val="both"/>
        <w:rPr>
          <w:sz w:val="20"/>
          <w:lang w:val="cs-CZ"/>
        </w:rPr>
      </w:pPr>
    </w:p>
    <w:p w:rsidR="00860130" w:rsidRPr="004C60C8" w:rsidRDefault="00506354" w:rsidP="00860130">
      <w:pPr>
        <w:numPr>
          <w:ilvl w:val="1"/>
          <w:numId w:val="1"/>
        </w:numPr>
        <w:spacing w:line="240" w:lineRule="auto"/>
        <w:jc w:val="both"/>
        <w:rPr>
          <w:sz w:val="20"/>
          <w:lang w:val="cs-CZ"/>
        </w:rPr>
      </w:pPr>
      <w:r w:rsidRPr="00506354">
        <w:rPr>
          <w:sz w:val="20"/>
          <w:lang w:val="cs-CZ"/>
        </w:rPr>
        <w:t xml:space="preserve">Pokud </w:t>
      </w:r>
      <w:r w:rsidR="004C60C8">
        <w:rPr>
          <w:sz w:val="20"/>
          <w:lang w:val="cs-CZ"/>
        </w:rPr>
        <w:t>SMLUVNÍ PARTNER</w:t>
      </w:r>
      <w:r w:rsidRPr="00506354">
        <w:rPr>
          <w:sz w:val="20"/>
          <w:lang w:val="cs-CZ"/>
        </w:rPr>
        <w:t xml:space="preserve"> neakceptuje </w:t>
      </w:r>
      <w:r w:rsidR="004C60C8">
        <w:rPr>
          <w:sz w:val="20"/>
          <w:lang w:val="cs-CZ"/>
        </w:rPr>
        <w:t>o</w:t>
      </w:r>
      <w:r w:rsidRPr="00506354">
        <w:rPr>
          <w:sz w:val="20"/>
          <w:lang w:val="cs-CZ"/>
        </w:rPr>
        <w:t xml:space="preserve">bjednávku v </w:t>
      </w:r>
      <w:r w:rsidRPr="001A74D3">
        <w:rPr>
          <w:sz w:val="20"/>
          <w:lang w:val="cs-CZ"/>
        </w:rPr>
        <w:t xml:space="preserve">čase </w:t>
      </w:r>
      <w:r w:rsidR="004C60C8" w:rsidRPr="001A74D3">
        <w:rPr>
          <w:sz w:val="20"/>
          <w:lang w:val="cs-CZ"/>
        </w:rPr>
        <w:t>tří</w:t>
      </w:r>
      <w:r w:rsidRPr="001A74D3">
        <w:rPr>
          <w:sz w:val="20"/>
          <w:lang w:val="cs-CZ"/>
        </w:rPr>
        <w:t xml:space="preserve"> týdnů</w:t>
      </w:r>
      <w:r w:rsidRPr="00506354">
        <w:rPr>
          <w:sz w:val="20"/>
          <w:lang w:val="cs-CZ"/>
        </w:rPr>
        <w:t xml:space="preserve"> od jejího obdržení, EPCOS je oprávněn </w:t>
      </w:r>
      <w:r w:rsidR="004C60C8">
        <w:rPr>
          <w:sz w:val="20"/>
          <w:lang w:val="cs-CZ"/>
        </w:rPr>
        <w:t>o</w:t>
      </w:r>
      <w:r w:rsidRPr="00506354">
        <w:rPr>
          <w:sz w:val="20"/>
          <w:lang w:val="cs-CZ"/>
        </w:rPr>
        <w:t>bjednávku stornovat.</w:t>
      </w:r>
    </w:p>
    <w:p w:rsidR="00860130" w:rsidRPr="004C60C8" w:rsidRDefault="00860130" w:rsidP="00860130">
      <w:pPr>
        <w:spacing w:line="240" w:lineRule="auto"/>
        <w:jc w:val="both"/>
        <w:rPr>
          <w:sz w:val="20"/>
          <w:lang w:val="cs-CZ"/>
        </w:rPr>
      </w:pPr>
    </w:p>
    <w:p w:rsidR="00860130" w:rsidRPr="00482C73" w:rsidRDefault="00482C73" w:rsidP="00860130">
      <w:pPr>
        <w:numPr>
          <w:ilvl w:val="1"/>
          <w:numId w:val="1"/>
        </w:numPr>
        <w:spacing w:line="240" w:lineRule="auto"/>
        <w:jc w:val="both"/>
        <w:rPr>
          <w:sz w:val="20"/>
          <w:lang w:val="cs-CZ"/>
        </w:rPr>
      </w:pPr>
      <w:r w:rsidRPr="00482C73">
        <w:rPr>
          <w:sz w:val="20"/>
          <w:lang w:val="cs-CZ"/>
        </w:rPr>
        <w:t xml:space="preserve">EPCOS může žádat o modifikace designu a konstrukce dodávaných výrobků, které jsou v rozumné míře přijatelné pro </w:t>
      </w:r>
      <w:r>
        <w:rPr>
          <w:sz w:val="20"/>
          <w:lang w:val="cs-CZ"/>
        </w:rPr>
        <w:t>SMLUVNÍHO PARTNERA</w:t>
      </w:r>
      <w:r w:rsidRPr="00482C73">
        <w:rPr>
          <w:sz w:val="20"/>
          <w:lang w:val="cs-CZ"/>
        </w:rPr>
        <w:t xml:space="preserve">. Pokud však tyto modifikace vedou ke změnám v nákladech a/nebo časových termínech, EPCOS a </w:t>
      </w:r>
      <w:r>
        <w:rPr>
          <w:sz w:val="20"/>
          <w:lang w:val="cs-CZ"/>
        </w:rPr>
        <w:t>SMLUVNÍ PARTNER</w:t>
      </w:r>
      <w:r w:rsidRPr="00482C73">
        <w:rPr>
          <w:sz w:val="20"/>
          <w:lang w:val="cs-CZ"/>
        </w:rPr>
        <w:t xml:space="preserve"> se musí dohodnout na změně Do</w:t>
      </w:r>
      <w:r>
        <w:rPr>
          <w:sz w:val="20"/>
          <w:lang w:val="cs-CZ"/>
        </w:rPr>
        <w:t>hody</w:t>
      </w:r>
      <w:r w:rsidR="00860130" w:rsidRPr="00482C73">
        <w:rPr>
          <w:sz w:val="20"/>
          <w:lang w:val="cs-CZ"/>
        </w:rPr>
        <w:t>.</w:t>
      </w:r>
    </w:p>
    <w:p w:rsidR="00860130" w:rsidRPr="00482C73" w:rsidRDefault="00860130" w:rsidP="00860130">
      <w:pPr>
        <w:jc w:val="both"/>
        <w:rPr>
          <w:sz w:val="20"/>
          <w:lang w:val="cs-CZ"/>
        </w:rPr>
      </w:pPr>
    </w:p>
    <w:p w:rsidR="00860130" w:rsidRPr="00482C73" w:rsidRDefault="00860130" w:rsidP="00860130">
      <w:pPr>
        <w:jc w:val="both"/>
        <w:rPr>
          <w:sz w:val="20"/>
          <w:lang w:val="cs-CZ"/>
        </w:rPr>
      </w:pPr>
    </w:p>
    <w:p w:rsidR="00860130" w:rsidRPr="00482C73" w:rsidRDefault="00860130" w:rsidP="00860130">
      <w:pPr>
        <w:jc w:val="both"/>
        <w:rPr>
          <w:sz w:val="20"/>
          <w:lang w:val="cs-CZ"/>
        </w:rPr>
      </w:pPr>
    </w:p>
    <w:p w:rsidR="00860130" w:rsidRPr="00F835E4" w:rsidRDefault="00F835E4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F835E4">
        <w:rPr>
          <w:rFonts w:ascii="Arial" w:hAnsi="Arial"/>
          <w:sz w:val="24"/>
          <w:lang w:val="cs-CZ"/>
        </w:rPr>
        <w:t>Platnost nabídek</w:t>
      </w:r>
    </w:p>
    <w:p w:rsidR="00860130" w:rsidRPr="00F835E4" w:rsidRDefault="00F835E4" w:rsidP="00860130">
      <w:pPr>
        <w:numPr>
          <w:ilvl w:val="1"/>
          <w:numId w:val="6"/>
        </w:numPr>
        <w:spacing w:line="240" w:lineRule="auto"/>
        <w:jc w:val="both"/>
        <w:rPr>
          <w:sz w:val="20"/>
          <w:lang w:val="cs-CZ"/>
        </w:rPr>
      </w:pPr>
      <w:r w:rsidRPr="00F835E4">
        <w:rPr>
          <w:sz w:val="20"/>
          <w:lang w:val="cs-CZ"/>
        </w:rPr>
        <w:t>Nabídky na dodávky zůstávají v platnosti k akceptaci ze strany EPCOS nejméně 90 dnů od obdržení</w:t>
      </w:r>
      <w:r w:rsidR="00860130" w:rsidRPr="00F835E4">
        <w:rPr>
          <w:sz w:val="20"/>
          <w:lang w:val="cs-CZ"/>
        </w:rPr>
        <w:t>.</w:t>
      </w:r>
    </w:p>
    <w:p w:rsidR="00860130" w:rsidRDefault="00860130" w:rsidP="00860130">
      <w:pPr>
        <w:jc w:val="both"/>
        <w:rPr>
          <w:sz w:val="20"/>
          <w:lang w:val="en-GB"/>
        </w:rPr>
      </w:pPr>
    </w:p>
    <w:p w:rsidR="001E05E3" w:rsidRDefault="001E05E3" w:rsidP="00860130">
      <w:pPr>
        <w:jc w:val="both"/>
        <w:rPr>
          <w:sz w:val="20"/>
          <w:lang w:val="en-GB"/>
        </w:rPr>
      </w:pPr>
    </w:p>
    <w:p w:rsidR="001E05E3" w:rsidRPr="00011347" w:rsidRDefault="001E05E3" w:rsidP="00860130">
      <w:pPr>
        <w:jc w:val="both"/>
        <w:rPr>
          <w:sz w:val="20"/>
          <w:lang w:val="en-GB"/>
        </w:rPr>
      </w:pPr>
    </w:p>
    <w:p w:rsidR="00860130" w:rsidRPr="00F835E4" w:rsidRDefault="00F835E4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F835E4">
        <w:rPr>
          <w:rFonts w:ascii="Arial" w:hAnsi="Arial"/>
          <w:sz w:val="24"/>
          <w:lang w:val="cs-CZ"/>
        </w:rPr>
        <w:t>Platby a stornování</w:t>
      </w:r>
    </w:p>
    <w:p w:rsidR="00860130" w:rsidRPr="00F835E4" w:rsidRDefault="00F835E4" w:rsidP="00860130">
      <w:pPr>
        <w:numPr>
          <w:ilvl w:val="1"/>
          <w:numId w:val="2"/>
        </w:numPr>
        <w:spacing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Pokud není dohodnuto v písemné formě jinak, p</w:t>
      </w:r>
      <w:r w:rsidRPr="00F835E4">
        <w:rPr>
          <w:sz w:val="20"/>
          <w:lang w:val="cs-CZ"/>
        </w:rPr>
        <w:t xml:space="preserve">latba musí být provedena do </w:t>
      </w:r>
      <w:r w:rsidR="00DE1709">
        <w:rPr>
          <w:sz w:val="20"/>
          <w:lang w:val="cs-CZ"/>
        </w:rPr>
        <w:t>30</w:t>
      </w:r>
      <w:bookmarkStart w:id="0" w:name="_GoBack"/>
      <w:bookmarkEnd w:id="0"/>
      <w:r w:rsidRPr="00F835E4">
        <w:rPr>
          <w:sz w:val="20"/>
          <w:lang w:val="cs-CZ"/>
        </w:rPr>
        <w:t xml:space="preserve"> dnů </w:t>
      </w:r>
      <w:r>
        <w:rPr>
          <w:sz w:val="20"/>
          <w:lang w:val="cs-CZ"/>
        </w:rPr>
        <w:t>po dodání a obdržení faktury</w:t>
      </w:r>
      <w:r w:rsidRPr="00F835E4">
        <w:rPr>
          <w:sz w:val="20"/>
          <w:lang w:val="cs-CZ"/>
        </w:rPr>
        <w:t>. V případě předčasné dodávky se lhůta splatnosti počítá od původně dohodnutého data dodání</w:t>
      </w:r>
      <w:r>
        <w:rPr>
          <w:sz w:val="20"/>
          <w:lang w:val="cs-CZ"/>
        </w:rPr>
        <w:t>.</w:t>
      </w:r>
    </w:p>
    <w:p w:rsidR="001845FD" w:rsidRPr="00F835E4" w:rsidRDefault="001845FD" w:rsidP="001845FD">
      <w:pPr>
        <w:spacing w:line="240" w:lineRule="auto"/>
        <w:jc w:val="both"/>
        <w:rPr>
          <w:sz w:val="20"/>
          <w:lang w:val="cs-CZ"/>
        </w:rPr>
      </w:pPr>
    </w:p>
    <w:p w:rsidR="001845FD" w:rsidRPr="003D339C" w:rsidRDefault="003D339C" w:rsidP="001845FD">
      <w:pPr>
        <w:numPr>
          <w:ilvl w:val="1"/>
          <w:numId w:val="2"/>
        </w:numPr>
        <w:spacing w:line="240" w:lineRule="auto"/>
        <w:jc w:val="both"/>
        <w:rPr>
          <w:sz w:val="20"/>
          <w:lang w:val="cs-CZ"/>
        </w:rPr>
      </w:pPr>
      <w:r w:rsidRPr="003D339C">
        <w:rPr>
          <w:sz w:val="20"/>
          <w:lang w:val="cs-CZ"/>
        </w:rPr>
        <w:t xml:space="preserve">Zálohové platby se uskutečňují u </w:t>
      </w:r>
      <w:r>
        <w:rPr>
          <w:sz w:val="20"/>
          <w:lang w:val="cs-CZ"/>
        </w:rPr>
        <w:t>o</w:t>
      </w:r>
      <w:r w:rsidRPr="003D339C">
        <w:rPr>
          <w:sz w:val="20"/>
          <w:lang w:val="cs-CZ"/>
        </w:rPr>
        <w:t xml:space="preserve">bjednávek v hodnotě </w:t>
      </w:r>
      <w:r w:rsidR="00520EA5">
        <w:rPr>
          <w:sz w:val="20"/>
          <w:lang w:val="cs-CZ"/>
        </w:rPr>
        <w:t>1.00</w:t>
      </w:r>
      <w:r w:rsidRPr="003D339C">
        <w:rPr>
          <w:sz w:val="20"/>
          <w:lang w:val="cs-CZ"/>
        </w:rPr>
        <w:t xml:space="preserve">0.000,00 </w:t>
      </w:r>
      <w:r w:rsidR="00520EA5">
        <w:rPr>
          <w:sz w:val="20"/>
          <w:lang w:val="cs-CZ"/>
        </w:rPr>
        <w:t>Kč</w:t>
      </w:r>
      <w:r w:rsidRPr="003D339C">
        <w:rPr>
          <w:sz w:val="20"/>
          <w:lang w:val="cs-CZ"/>
        </w:rPr>
        <w:t xml:space="preserve"> a vyšších, a to na základě potvrzení </w:t>
      </w:r>
      <w:r>
        <w:rPr>
          <w:sz w:val="20"/>
          <w:lang w:val="cs-CZ"/>
        </w:rPr>
        <w:t>o</w:t>
      </w:r>
      <w:r w:rsidRPr="003D339C">
        <w:rPr>
          <w:sz w:val="20"/>
          <w:lang w:val="cs-CZ"/>
        </w:rPr>
        <w:t>bjednávky s předložením absolutní bankovní záruky</w:t>
      </w:r>
      <w:r>
        <w:rPr>
          <w:sz w:val="20"/>
          <w:lang w:val="cs-CZ"/>
        </w:rPr>
        <w:t>.</w:t>
      </w:r>
    </w:p>
    <w:p w:rsidR="001845FD" w:rsidRPr="003D339C" w:rsidRDefault="001845FD" w:rsidP="001845FD">
      <w:pPr>
        <w:spacing w:line="240" w:lineRule="auto"/>
        <w:jc w:val="both"/>
        <w:rPr>
          <w:sz w:val="20"/>
          <w:lang w:val="cs-CZ"/>
        </w:rPr>
      </w:pPr>
    </w:p>
    <w:p w:rsidR="001845FD" w:rsidRPr="00DB5704" w:rsidRDefault="00DB5704" w:rsidP="001845FD">
      <w:pPr>
        <w:numPr>
          <w:ilvl w:val="1"/>
          <w:numId w:val="2"/>
        </w:numPr>
        <w:spacing w:line="240" w:lineRule="auto"/>
        <w:jc w:val="both"/>
        <w:rPr>
          <w:sz w:val="20"/>
          <w:lang w:val="cs-CZ"/>
        </w:rPr>
      </w:pPr>
      <w:r w:rsidRPr="00DB5704">
        <w:rPr>
          <w:sz w:val="20"/>
          <w:lang w:val="cs-CZ"/>
        </w:rPr>
        <w:t>Platební podmínky pro dodávky strojů a zařízení budou dohodnuty následovně:</w:t>
      </w:r>
    </w:p>
    <w:p w:rsidR="001845FD" w:rsidRPr="00DB5704" w:rsidRDefault="001845FD" w:rsidP="001845FD">
      <w:pPr>
        <w:numPr>
          <w:ilvl w:val="0"/>
          <w:numId w:val="15"/>
        </w:numPr>
        <w:spacing w:before="120" w:after="120" w:line="240" w:lineRule="auto"/>
        <w:ind w:left="1173" w:hanging="357"/>
        <w:jc w:val="both"/>
        <w:rPr>
          <w:sz w:val="20"/>
          <w:lang w:val="cs-CZ"/>
        </w:rPr>
      </w:pPr>
      <w:r w:rsidRPr="00DB5704">
        <w:rPr>
          <w:sz w:val="20"/>
          <w:lang w:val="cs-CZ"/>
        </w:rPr>
        <w:t>30</w:t>
      </w:r>
      <w:r w:rsidR="00F65E11">
        <w:rPr>
          <w:sz w:val="20"/>
          <w:lang w:val="cs-CZ"/>
        </w:rPr>
        <w:t> </w:t>
      </w:r>
      <w:r w:rsidRPr="00DB5704">
        <w:rPr>
          <w:sz w:val="20"/>
          <w:lang w:val="cs-CZ"/>
        </w:rPr>
        <w:t xml:space="preserve">% </w:t>
      </w:r>
      <w:r w:rsidR="00DB5704" w:rsidRPr="00DB5704">
        <w:rPr>
          <w:sz w:val="20"/>
          <w:lang w:val="cs-CZ"/>
        </w:rPr>
        <w:t>záloha po předložení potvrzené objednávky a bankovní záruky</w:t>
      </w:r>
      <w:r w:rsidRPr="00DB5704">
        <w:rPr>
          <w:sz w:val="20"/>
          <w:lang w:val="cs-CZ"/>
        </w:rPr>
        <w:t xml:space="preserve"> (</w:t>
      </w:r>
      <w:r w:rsidR="00DB5704" w:rsidRPr="00DB5704">
        <w:rPr>
          <w:sz w:val="20"/>
          <w:lang w:val="cs-CZ"/>
        </w:rPr>
        <w:t>viz bod</w:t>
      </w:r>
      <w:r w:rsidRPr="00DB5704">
        <w:rPr>
          <w:sz w:val="20"/>
          <w:lang w:val="cs-CZ"/>
        </w:rPr>
        <w:t xml:space="preserve"> 4.2)</w:t>
      </w:r>
    </w:p>
    <w:p w:rsidR="001845FD" w:rsidRPr="00DB5704" w:rsidRDefault="001845FD" w:rsidP="001845FD">
      <w:pPr>
        <w:numPr>
          <w:ilvl w:val="0"/>
          <w:numId w:val="15"/>
        </w:numPr>
        <w:spacing w:before="120" w:after="120" w:line="240" w:lineRule="auto"/>
        <w:ind w:left="1173" w:hanging="357"/>
        <w:jc w:val="both"/>
        <w:rPr>
          <w:sz w:val="20"/>
          <w:lang w:val="cs-CZ"/>
        </w:rPr>
      </w:pPr>
      <w:r w:rsidRPr="00DB5704">
        <w:rPr>
          <w:sz w:val="20"/>
          <w:lang w:val="cs-CZ"/>
        </w:rPr>
        <w:t>30</w:t>
      </w:r>
      <w:r w:rsidR="00F65E11">
        <w:rPr>
          <w:sz w:val="20"/>
          <w:lang w:val="cs-CZ"/>
        </w:rPr>
        <w:t> </w:t>
      </w:r>
      <w:r w:rsidRPr="00DB5704">
        <w:rPr>
          <w:sz w:val="20"/>
          <w:lang w:val="cs-CZ"/>
        </w:rPr>
        <w:t xml:space="preserve">% </w:t>
      </w:r>
      <w:r w:rsidR="00DB5704">
        <w:rPr>
          <w:sz w:val="20"/>
          <w:lang w:val="cs-CZ"/>
        </w:rPr>
        <w:t>po úspěšném absolvování přejímací zkoušky u SMLUVNÍHO PARTNERA včetně v</w:t>
      </w:r>
      <w:r w:rsidR="00762AA7">
        <w:rPr>
          <w:sz w:val="20"/>
          <w:lang w:val="cs-CZ"/>
        </w:rPr>
        <w:t xml:space="preserve">zájemně podepsaného protokolu z této </w:t>
      </w:r>
      <w:r w:rsidR="00DB5704">
        <w:rPr>
          <w:sz w:val="20"/>
          <w:lang w:val="cs-CZ"/>
        </w:rPr>
        <w:t>přejímací zkoušky</w:t>
      </w:r>
      <w:r w:rsidRPr="00DB5704">
        <w:rPr>
          <w:sz w:val="20"/>
          <w:lang w:val="cs-CZ"/>
        </w:rPr>
        <w:t xml:space="preserve"> a </w:t>
      </w:r>
      <w:r w:rsidR="00DB5704">
        <w:rPr>
          <w:sz w:val="20"/>
          <w:lang w:val="cs-CZ"/>
        </w:rPr>
        <w:t>dodání na určené místo (dle dispozic EPCOS</w:t>
      </w:r>
      <w:r w:rsidRPr="00DB5704">
        <w:rPr>
          <w:sz w:val="20"/>
          <w:lang w:val="cs-CZ"/>
        </w:rPr>
        <w:t>).</w:t>
      </w:r>
    </w:p>
    <w:p w:rsidR="001845FD" w:rsidRPr="00DB5704" w:rsidRDefault="001845FD" w:rsidP="001845FD">
      <w:pPr>
        <w:numPr>
          <w:ilvl w:val="0"/>
          <w:numId w:val="15"/>
        </w:numPr>
        <w:spacing w:before="120" w:after="120" w:line="240" w:lineRule="auto"/>
        <w:ind w:left="1173" w:hanging="357"/>
        <w:jc w:val="both"/>
        <w:rPr>
          <w:sz w:val="20"/>
          <w:lang w:val="cs-CZ"/>
        </w:rPr>
      </w:pPr>
      <w:r w:rsidRPr="00DB5704">
        <w:rPr>
          <w:sz w:val="20"/>
          <w:lang w:val="cs-CZ"/>
        </w:rPr>
        <w:t>30</w:t>
      </w:r>
      <w:r w:rsidR="00F65E11">
        <w:rPr>
          <w:sz w:val="20"/>
          <w:lang w:val="cs-CZ"/>
        </w:rPr>
        <w:t> </w:t>
      </w:r>
      <w:r w:rsidRPr="00DB5704">
        <w:rPr>
          <w:sz w:val="20"/>
          <w:lang w:val="cs-CZ"/>
        </w:rPr>
        <w:t xml:space="preserve">% </w:t>
      </w:r>
      <w:r w:rsidR="00762AA7">
        <w:rPr>
          <w:sz w:val="20"/>
          <w:lang w:val="cs-CZ"/>
        </w:rPr>
        <w:t xml:space="preserve">po úspěšném ukončení </w:t>
      </w:r>
      <w:r w:rsidR="00C60EBB">
        <w:rPr>
          <w:sz w:val="20"/>
          <w:lang w:val="cs-CZ"/>
        </w:rPr>
        <w:t xml:space="preserve">první </w:t>
      </w:r>
      <w:r w:rsidR="00762AA7">
        <w:rPr>
          <w:sz w:val="20"/>
          <w:lang w:val="cs-CZ"/>
        </w:rPr>
        <w:t>přejímací zkoušky u EPCOS</w:t>
      </w:r>
      <w:r w:rsidRPr="00DB5704">
        <w:rPr>
          <w:sz w:val="20"/>
          <w:lang w:val="cs-CZ"/>
        </w:rPr>
        <w:t xml:space="preserve"> </w:t>
      </w:r>
      <w:r w:rsidR="00762AA7">
        <w:rPr>
          <w:sz w:val="20"/>
          <w:lang w:val="cs-CZ"/>
        </w:rPr>
        <w:t>včetně vzájemně podepsaného protokolu z</w:t>
      </w:r>
      <w:r w:rsidR="00520EA5">
        <w:rPr>
          <w:sz w:val="20"/>
          <w:lang w:val="cs-CZ"/>
        </w:rPr>
        <w:t xml:space="preserve"> </w:t>
      </w:r>
      <w:r w:rsidR="00762AA7">
        <w:rPr>
          <w:sz w:val="20"/>
          <w:lang w:val="cs-CZ"/>
        </w:rPr>
        <w:t>této přejímací zkoušky</w:t>
      </w:r>
      <w:r w:rsidRPr="00DB5704">
        <w:rPr>
          <w:sz w:val="20"/>
          <w:lang w:val="cs-CZ"/>
        </w:rPr>
        <w:t>.</w:t>
      </w:r>
    </w:p>
    <w:p w:rsidR="001845FD" w:rsidRPr="00DB5704" w:rsidRDefault="001845FD" w:rsidP="001845FD">
      <w:pPr>
        <w:numPr>
          <w:ilvl w:val="0"/>
          <w:numId w:val="15"/>
        </w:numPr>
        <w:spacing w:before="120" w:after="120" w:line="240" w:lineRule="auto"/>
        <w:ind w:left="1173" w:hanging="357"/>
        <w:jc w:val="both"/>
        <w:rPr>
          <w:sz w:val="20"/>
          <w:lang w:val="cs-CZ"/>
        </w:rPr>
      </w:pPr>
      <w:r w:rsidRPr="00DB5704">
        <w:rPr>
          <w:sz w:val="20"/>
          <w:lang w:val="cs-CZ"/>
        </w:rPr>
        <w:t>10</w:t>
      </w:r>
      <w:r w:rsidR="00F65E11">
        <w:rPr>
          <w:sz w:val="20"/>
          <w:lang w:val="cs-CZ"/>
        </w:rPr>
        <w:t> </w:t>
      </w:r>
      <w:r w:rsidRPr="00DB5704">
        <w:rPr>
          <w:sz w:val="20"/>
          <w:lang w:val="cs-CZ"/>
        </w:rPr>
        <w:t xml:space="preserve">% </w:t>
      </w:r>
      <w:r w:rsidR="00C60EBB">
        <w:rPr>
          <w:sz w:val="20"/>
          <w:lang w:val="cs-CZ"/>
        </w:rPr>
        <w:t xml:space="preserve">po úspěšném ukončení konečné přejímací zkoušky u </w:t>
      </w:r>
      <w:r w:rsidRPr="00DB5704">
        <w:rPr>
          <w:sz w:val="20"/>
          <w:lang w:val="cs-CZ"/>
        </w:rPr>
        <w:t>EPCOS (</w:t>
      </w:r>
      <w:r w:rsidR="00C60EBB">
        <w:rPr>
          <w:sz w:val="20"/>
          <w:lang w:val="cs-CZ"/>
        </w:rPr>
        <w:t>ukončení zkušebního provozu</w:t>
      </w:r>
      <w:r w:rsidRPr="00DB5704">
        <w:rPr>
          <w:sz w:val="20"/>
          <w:lang w:val="cs-CZ"/>
        </w:rPr>
        <w:t xml:space="preserve">) </w:t>
      </w:r>
      <w:r w:rsidR="00C5124A">
        <w:rPr>
          <w:sz w:val="20"/>
          <w:lang w:val="cs-CZ"/>
        </w:rPr>
        <w:t>včetně vzájemně podepsaného protokolu z této přejímací zkoušky</w:t>
      </w:r>
      <w:r w:rsidRPr="00DB5704">
        <w:rPr>
          <w:sz w:val="20"/>
          <w:lang w:val="cs-CZ"/>
        </w:rPr>
        <w:t>.</w:t>
      </w:r>
    </w:p>
    <w:p w:rsidR="00860130" w:rsidRPr="00DB5704" w:rsidRDefault="00C5124A" w:rsidP="001845FD">
      <w:pPr>
        <w:numPr>
          <w:ilvl w:val="0"/>
          <w:numId w:val="15"/>
        </w:numPr>
        <w:spacing w:before="120" w:after="120" w:line="240" w:lineRule="auto"/>
        <w:ind w:left="1173" w:hanging="357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SMLUVNÍ PARTNER předloží </w:t>
      </w:r>
      <w:r w:rsidRPr="00C5124A">
        <w:rPr>
          <w:sz w:val="20"/>
          <w:lang w:val="cs-CZ"/>
        </w:rPr>
        <w:t xml:space="preserve">rovněž </w:t>
      </w:r>
      <w:r>
        <w:rPr>
          <w:sz w:val="20"/>
          <w:lang w:val="cs-CZ"/>
        </w:rPr>
        <w:t xml:space="preserve">garanční bankovní </w:t>
      </w:r>
      <w:r w:rsidRPr="00C5124A">
        <w:rPr>
          <w:sz w:val="20"/>
          <w:lang w:val="cs-CZ"/>
        </w:rPr>
        <w:t xml:space="preserve">záruku ve výši </w:t>
      </w:r>
      <w:r w:rsidR="007C4041">
        <w:rPr>
          <w:sz w:val="20"/>
          <w:lang w:val="cs-CZ"/>
        </w:rPr>
        <w:t>5</w:t>
      </w:r>
      <w:r w:rsidR="00F65E11">
        <w:rPr>
          <w:sz w:val="20"/>
          <w:lang w:val="cs-CZ"/>
        </w:rPr>
        <w:t> </w:t>
      </w:r>
      <w:r w:rsidRPr="00C5124A">
        <w:rPr>
          <w:sz w:val="20"/>
          <w:lang w:val="cs-CZ"/>
        </w:rPr>
        <w:t>% z celkové částky</w:t>
      </w:r>
      <w:r>
        <w:rPr>
          <w:sz w:val="20"/>
          <w:lang w:val="cs-CZ"/>
        </w:rPr>
        <w:t xml:space="preserve"> objednávky s platností</w:t>
      </w:r>
      <w:r w:rsidRPr="00C5124A">
        <w:rPr>
          <w:sz w:val="20"/>
          <w:lang w:val="cs-CZ"/>
        </w:rPr>
        <w:t xml:space="preserve"> na dobu </w:t>
      </w:r>
      <w:r w:rsidR="00023B07">
        <w:rPr>
          <w:sz w:val="20"/>
          <w:lang w:val="cs-CZ"/>
        </w:rPr>
        <w:t xml:space="preserve">minimálně </w:t>
      </w:r>
      <w:r w:rsidRPr="00C5124A">
        <w:rPr>
          <w:sz w:val="20"/>
          <w:lang w:val="cs-CZ"/>
        </w:rPr>
        <w:t>24 měsíců od převzetí</w:t>
      </w:r>
      <w:r>
        <w:rPr>
          <w:sz w:val="20"/>
          <w:lang w:val="cs-CZ"/>
        </w:rPr>
        <w:t xml:space="preserve"> dodávky</w:t>
      </w:r>
      <w:r w:rsidR="00023B07">
        <w:rPr>
          <w:sz w:val="20"/>
          <w:lang w:val="cs-CZ"/>
        </w:rPr>
        <w:t xml:space="preserve"> (odpovídající délce skutečné záruční doby)</w:t>
      </w:r>
      <w:r>
        <w:rPr>
          <w:sz w:val="20"/>
          <w:lang w:val="cs-CZ"/>
        </w:rPr>
        <w:t>.</w:t>
      </w:r>
    </w:p>
    <w:p w:rsidR="001845FD" w:rsidRPr="00C5124A" w:rsidRDefault="001845FD" w:rsidP="00860130">
      <w:pPr>
        <w:spacing w:line="240" w:lineRule="auto"/>
        <w:jc w:val="both"/>
        <w:rPr>
          <w:sz w:val="20"/>
          <w:lang w:val="cs-CZ"/>
        </w:rPr>
      </w:pPr>
    </w:p>
    <w:p w:rsidR="001845FD" w:rsidRPr="00E102C2" w:rsidRDefault="00E102C2" w:rsidP="00860130">
      <w:pPr>
        <w:numPr>
          <w:ilvl w:val="1"/>
          <w:numId w:val="2"/>
        </w:numPr>
        <w:spacing w:line="240" w:lineRule="auto"/>
        <w:jc w:val="both"/>
        <w:rPr>
          <w:sz w:val="20"/>
          <w:lang w:val="cs-CZ"/>
        </w:rPr>
      </w:pPr>
      <w:r w:rsidRPr="00E102C2">
        <w:rPr>
          <w:sz w:val="20"/>
          <w:lang w:val="cs-CZ"/>
        </w:rPr>
        <w:t>V případě vadné dodávky</w:t>
      </w:r>
      <w:r>
        <w:rPr>
          <w:sz w:val="20"/>
          <w:lang w:val="cs-CZ"/>
        </w:rPr>
        <w:t xml:space="preserve"> je</w:t>
      </w:r>
      <w:r w:rsidRPr="00E102C2">
        <w:rPr>
          <w:sz w:val="20"/>
          <w:lang w:val="cs-CZ"/>
        </w:rPr>
        <w:t xml:space="preserve"> EPCOS oprávněn zadržovat platby </w:t>
      </w:r>
      <w:r>
        <w:rPr>
          <w:sz w:val="20"/>
          <w:lang w:val="cs-CZ"/>
        </w:rPr>
        <w:t>v p</w:t>
      </w:r>
      <w:r w:rsidRPr="00E102C2">
        <w:rPr>
          <w:sz w:val="20"/>
          <w:lang w:val="cs-CZ"/>
        </w:rPr>
        <w:t>oměrn</w:t>
      </w:r>
      <w:r>
        <w:rPr>
          <w:sz w:val="20"/>
          <w:lang w:val="cs-CZ"/>
        </w:rPr>
        <w:t xml:space="preserve">é výši </w:t>
      </w:r>
      <w:r w:rsidRPr="00E102C2">
        <w:rPr>
          <w:sz w:val="20"/>
          <w:lang w:val="cs-CZ"/>
        </w:rPr>
        <w:t>až do řádné</w:t>
      </w:r>
      <w:r>
        <w:rPr>
          <w:sz w:val="20"/>
          <w:lang w:val="cs-CZ"/>
        </w:rPr>
        <w:t>ho</w:t>
      </w:r>
      <w:r w:rsidRPr="00E102C2">
        <w:rPr>
          <w:sz w:val="20"/>
          <w:lang w:val="cs-CZ"/>
        </w:rPr>
        <w:t xml:space="preserve"> </w:t>
      </w:r>
      <w:r>
        <w:rPr>
          <w:sz w:val="20"/>
          <w:lang w:val="cs-CZ"/>
        </w:rPr>
        <w:t xml:space="preserve">splnění </w:t>
      </w:r>
      <w:r w:rsidRPr="00E102C2">
        <w:rPr>
          <w:sz w:val="20"/>
          <w:lang w:val="cs-CZ"/>
        </w:rPr>
        <w:t>zakázky</w:t>
      </w:r>
      <w:r>
        <w:rPr>
          <w:sz w:val="20"/>
          <w:lang w:val="cs-CZ"/>
        </w:rPr>
        <w:t>.</w:t>
      </w:r>
    </w:p>
    <w:p w:rsidR="001845FD" w:rsidRPr="00E102C2" w:rsidRDefault="001845FD" w:rsidP="001845FD">
      <w:pPr>
        <w:spacing w:line="240" w:lineRule="auto"/>
        <w:jc w:val="both"/>
        <w:rPr>
          <w:sz w:val="20"/>
          <w:lang w:val="cs-CZ"/>
        </w:rPr>
      </w:pPr>
    </w:p>
    <w:p w:rsidR="00860130" w:rsidRPr="00944F6C" w:rsidRDefault="00804AC2" w:rsidP="00860130">
      <w:pPr>
        <w:numPr>
          <w:ilvl w:val="1"/>
          <w:numId w:val="2"/>
        </w:numPr>
        <w:spacing w:line="240" w:lineRule="auto"/>
        <w:jc w:val="both"/>
        <w:rPr>
          <w:sz w:val="20"/>
          <w:lang w:val="cs-CZ"/>
        </w:rPr>
      </w:pPr>
      <w:r w:rsidRPr="00804AC2">
        <w:rPr>
          <w:sz w:val="20"/>
          <w:lang w:val="cs-CZ"/>
        </w:rPr>
        <w:t xml:space="preserve">EPCOS </w:t>
      </w:r>
      <w:r>
        <w:rPr>
          <w:sz w:val="20"/>
          <w:lang w:val="cs-CZ"/>
        </w:rPr>
        <w:t xml:space="preserve">může </w:t>
      </w:r>
      <w:r w:rsidRPr="00804AC2">
        <w:rPr>
          <w:sz w:val="20"/>
          <w:lang w:val="cs-CZ"/>
        </w:rPr>
        <w:t xml:space="preserve">zrušit objednávky do dne dodání </w:t>
      </w:r>
      <w:r>
        <w:rPr>
          <w:sz w:val="20"/>
          <w:lang w:val="cs-CZ"/>
        </w:rPr>
        <w:t>od SMLUVNÍHO PARTNERA</w:t>
      </w:r>
      <w:r w:rsidRPr="00804AC2">
        <w:rPr>
          <w:sz w:val="20"/>
          <w:lang w:val="cs-CZ"/>
        </w:rPr>
        <w:t xml:space="preserve">. V případě zrušení </w:t>
      </w:r>
      <w:r>
        <w:rPr>
          <w:sz w:val="20"/>
          <w:lang w:val="cs-CZ"/>
        </w:rPr>
        <w:t xml:space="preserve">má </w:t>
      </w:r>
      <w:r w:rsidRPr="00804AC2">
        <w:rPr>
          <w:sz w:val="20"/>
          <w:lang w:val="cs-CZ"/>
        </w:rPr>
        <w:t>SMLUVNÍ PARTNER nárok na náhrad</w:t>
      </w:r>
      <w:r>
        <w:rPr>
          <w:sz w:val="20"/>
          <w:lang w:val="cs-CZ"/>
        </w:rPr>
        <w:t>u všech nák</w:t>
      </w:r>
      <w:r w:rsidRPr="00804AC2">
        <w:rPr>
          <w:sz w:val="20"/>
          <w:lang w:val="cs-CZ"/>
        </w:rPr>
        <w:t xml:space="preserve">ladů </w:t>
      </w:r>
      <w:r>
        <w:rPr>
          <w:sz w:val="20"/>
          <w:lang w:val="cs-CZ"/>
        </w:rPr>
        <w:t>ze strany EPCOS</w:t>
      </w:r>
      <w:r w:rsidRPr="00804AC2">
        <w:rPr>
          <w:sz w:val="20"/>
          <w:lang w:val="cs-CZ"/>
        </w:rPr>
        <w:t xml:space="preserve"> až do dne zrušení</w:t>
      </w:r>
      <w:r>
        <w:rPr>
          <w:sz w:val="20"/>
          <w:lang w:val="cs-CZ"/>
        </w:rPr>
        <w:t xml:space="preserve"> objednávky</w:t>
      </w:r>
      <w:r w:rsidRPr="00804AC2">
        <w:rPr>
          <w:sz w:val="20"/>
          <w:lang w:val="cs-CZ"/>
        </w:rPr>
        <w:t>. SMLUVNÍ PARTNER vynaloží veškeré úsilí, aby</w:t>
      </w:r>
      <w:r w:rsidR="00944F6C">
        <w:rPr>
          <w:sz w:val="20"/>
          <w:lang w:val="cs-CZ"/>
        </w:rPr>
        <w:t xml:space="preserve"> </w:t>
      </w:r>
      <w:r w:rsidRPr="00804AC2">
        <w:rPr>
          <w:sz w:val="20"/>
          <w:lang w:val="cs-CZ"/>
        </w:rPr>
        <w:t xml:space="preserve">náklady </w:t>
      </w:r>
      <w:r w:rsidR="00944F6C">
        <w:rPr>
          <w:sz w:val="20"/>
          <w:lang w:val="cs-CZ"/>
        </w:rPr>
        <w:t>pro</w:t>
      </w:r>
      <w:r w:rsidRPr="00804AC2">
        <w:rPr>
          <w:sz w:val="20"/>
          <w:lang w:val="cs-CZ"/>
        </w:rPr>
        <w:t xml:space="preserve"> EPCOS </w:t>
      </w:r>
      <w:r w:rsidR="00944F6C">
        <w:rPr>
          <w:sz w:val="20"/>
          <w:lang w:val="cs-CZ"/>
        </w:rPr>
        <w:t xml:space="preserve">byly </w:t>
      </w:r>
      <w:r w:rsidRPr="00804AC2">
        <w:rPr>
          <w:sz w:val="20"/>
          <w:lang w:val="cs-CZ"/>
        </w:rPr>
        <w:t xml:space="preserve">na co nejnižší úrovni pomocí </w:t>
      </w:r>
      <w:r w:rsidR="00944F6C">
        <w:rPr>
          <w:sz w:val="20"/>
          <w:lang w:val="cs-CZ"/>
        </w:rPr>
        <w:t xml:space="preserve">využití </w:t>
      </w:r>
      <w:r w:rsidRPr="00804AC2">
        <w:rPr>
          <w:sz w:val="20"/>
          <w:lang w:val="cs-CZ"/>
        </w:rPr>
        <w:t>součást</w:t>
      </w:r>
      <w:r w:rsidR="00944F6C">
        <w:rPr>
          <w:sz w:val="20"/>
          <w:lang w:val="cs-CZ"/>
        </w:rPr>
        <w:t>ek</w:t>
      </w:r>
      <w:r w:rsidRPr="00804AC2">
        <w:rPr>
          <w:sz w:val="20"/>
          <w:lang w:val="cs-CZ"/>
        </w:rPr>
        <w:t xml:space="preserve"> pro jiné účely. Pokrok v plnění smlouvy budou posuzovány na základě milníků podle funkční specifikace / plánu</w:t>
      </w:r>
      <w:r w:rsidR="00944F6C">
        <w:rPr>
          <w:sz w:val="20"/>
          <w:lang w:val="cs-CZ"/>
        </w:rPr>
        <w:t xml:space="preserve"> dle milníků</w:t>
      </w:r>
      <w:r w:rsidRPr="00804AC2">
        <w:rPr>
          <w:sz w:val="20"/>
          <w:lang w:val="cs-CZ"/>
        </w:rPr>
        <w:t xml:space="preserve">. </w:t>
      </w:r>
      <w:r w:rsidRPr="00944F6C">
        <w:rPr>
          <w:sz w:val="20"/>
          <w:lang w:val="cs-CZ"/>
        </w:rPr>
        <w:t>EPCOS má právo obrátit se na</w:t>
      </w:r>
      <w:r w:rsidR="00944F6C">
        <w:rPr>
          <w:sz w:val="20"/>
          <w:lang w:val="cs-CZ"/>
        </w:rPr>
        <w:t xml:space="preserve"> </w:t>
      </w:r>
      <w:r w:rsidRPr="00944F6C">
        <w:rPr>
          <w:sz w:val="20"/>
          <w:lang w:val="cs-CZ"/>
        </w:rPr>
        <w:t>nezávislou třetí osobu pro posouzení</w:t>
      </w:r>
      <w:r w:rsidR="00944F6C" w:rsidRPr="00944F6C">
        <w:rPr>
          <w:sz w:val="20"/>
          <w:lang w:val="cs-CZ"/>
        </w:rPr>
        <w:t xml:space="preserve"> nutnosti vynaložení vzniklých </w:t>
      </w:r>
      <w:r w:rsidRPr="00944F6C">
        <w:rPr>
          <w:sz w:val="20"/>
          <w:lang w:val="cs-CZ"/>
        </w:rPr>
        <w:t>nákladů</w:t>
      </w:r>
      <w:r w:rsidR="00944F6C">
        <w:rPr>
          <w:sz w:val="20"/>
          <w:lang w:val="cs-CZ"/>
        </w:rPr>
        <w:t>.</w:t>
      </w:r>
    </w:p>
    <w:p w:rsidR="00860130" w:rsidRPr="00944F6C" w:rsidRDefault="00860130" w:rsidP="00860130">
      <w:pPr>
        <w:jc w:val="both"/>
        <w:rPr>
          <w:sz w:val="20"/>
          <w:lang w:val="cs-CZ"/>
        </w:rPr>
      </w:pPr>
    </w:p>
    <w:p w:rsidR="00860130" w:rsidRPr="00944F6C" w:rsidRDefault="00860130" w:rsidP="00860130">
      <w:pPr>
        <w:jc w:val="both"/>
        <w:rPr>
          <w:sz w:val="20"/>
          <w:lang w:val="cs-CZ"/>
        </w:rPr>
      </w:pPr>
    </w:p>
    <w:p w:rsidR="0056792A" w:rsidRPr="00944F6C" w:rsidRDefault="0056792A" w:rsidP="00860130">
      <w:pPr>
        <w:jc w:val="both"/>
        <w:rPr>
          <w:sz w:val="20"/>
          <w:lang w:val="cs-CZ"/>
        </w:rPr>
      </w:pPr>
    </w:p>
    <w:p w:rsidR="00860130" w:rsidRPr="00944F6C" w:rsidRDefault="00860130" w:rsidP="00860130">
      <w:pPr>
        <w:jc w:val="both"/>
        <w:rPr>
          <w:sz w:val="20"/>
          <w:lang w:val="cs-CZ"/>
        </w:rPr>
      </w:pPr>
    </w:p>
    <w:p w:rsidR="00860130" w:rsidRPr="001F41E8" w:rsidRDefault="001F41E8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1F41E8">
        <w:rPr>
          <w:rFonts w:ascii="Arial" w:hAnsi="Arial"/>
          <w:sz w:val="24"/>
          <w:lang w:val="cs-CZ"/>
        </w:rPr>
        <w:t>Dodací podmínky</w:t>
      </w:r>
    </w:p>
    <w:p w:rsidR="00860130" w:rsidRPr="000E0A22" w:rsidRDefault="001F41E8" w:rsidP="00860130">
      <w:pPr>
        <w:numPr>
          <w:ilvl w:val="1"/>
          <w:numId w:val="7"/>
        </w:numPr>
        <w:spacing w:line="240" w:lineRule="auto"/>
        <w:jc w:val="both"/>
        <w:rPr>
          <w:sz w:val="20"/>
          <w:lang w:val="cs-CZ"/>
        </w:rPr>
      </w:pPr>
      <w:r w:rsidRPr="001F41E8">
        <w:rPr>
          <w:sz w:val="20"/>
          <w:lang w:val="cs-CZ"/>
        </w:rPr>
        <w:t xml:space="preserve">Veškeré stanovené termíny a lhůty </w:t>
      </w:r>
      <w:r>
        <w:rPr>
          <w:sz w:val="20"/>
          <w:lang w:val="cs-CZ"/>
        </w:rPr>
        <w:t xml:space="preserve">jsou </w:t>
      </w:r>
      <w:r w:rsidRPr="001F41E8">
        <w:rPr>
          <w:sz w:val="20"/>
          <w:lang w:val="cs-CZ"/>
        </w:rPr>
        <w:t xml:space="preserve">závazné pro obě </w:t>
      </w:r>
      <w:r>
        <w:rPr>
          <w:sz w:val="20"/>
          <w:lang w:val="cs-CZ"/>
        </w:rPr>
        <w:t xml:space="preserve">Smluvní </w:t>
      </w:r>
      <w:r w:rsidRPr="001F41E8">
        <w:rPr>
          <w:sz w:val="20"/>
          <w:lang w:val="cs-CZ"/>
        </w:rPr>
        <w:t xml:space="preserve">strany. Dodržení termínu dodání nebo dodací lhůty se určí podle převzetí zboží </w:t>
      </w:r>
      <w:r>
        <w:rPr>
          <w:sz w:val="20"/>
          <w:lang w:val="cs-CZ"/>
        </w:rPr>
        <w:t xml:space="preserve">ze strany </w:t>
      </w:r>
      <w:r w:rsidRPr="001F41E8">
        <w:rPr>
          <w:sz w:val="20"/>
          <w:lang w:val="cs-CZ"/>
        </w:rPr>
        <w:t>EPCOS</w:t>
      </w:r>
      <w:r w:rsidR="00860130" w:rsidRPr="000E0A22">
        <w:rPr>
          <w:sz w:val="20"/>
          <w:lang w:val="cs-CZ"/>
        </w:rPr>
        <w:t>.</w:t>
      </w:r>
    </w:p>
    <w:p w:rsidR="00860130" w:rsidRPr="000E0A22" w:rsidRDefault="00860130" w:rsidP="00860130">
      <w:pPr>
        <w:tabs>
          <w:tab w:val="left" w:pos="426"/>
        </w:tabs>
        <w:spacing w:line="240" w:lineRule="auto"/>
        <w:ind w:left="425" w:hanging="425"/>
        <w:jc w:val="both"/>
        <w:rPr>
          <w:sz w:val="20"/>
          <w:lang w:val="cs-CZ"/>
        </w:rPr>
      </w:pPr>
    </w:p>
    <w:p w:rsidR="00860130" w:rsidRPr="000E0A22" w:rsidRDefault="000E0A22" w:rsidP="00860130">
      <w:pPr>
        <w:numPr>
          <w:ilvl w:val="1"/>
          <w:numId w:val="7"/>
        </w:numPr>
        <w:spacing w:line="240" w:lineRule="auto"/>
        <w:jc w:val="both"/>
        <w:rPr>
          <w:sz w:val="20"/>
          <w:lang w:val="cs-CZ"/>
        </w:rPr>
      </w:pPr>
      <w:r w:rsidRPr="000E0A22">
        <w:rPr>
          <w:sz w:val="20"/>
          <w:lang w:val="cs-CZ"/>
        </w:rPr>
        <w:t>Zboží bude dodán</w:t>
      </w:r>
      <w:r>
        <w:rPr>
          <w:sz w:val="20"/>
          <w:lang w:val="cs-CZ"/>
        </w:rPr>
        <w:t>o DAP Šumperk, Česká republika</w:t>
      </w:r>
      <w:r w:rsidRPr="000E0A22">
        <w:rPr>
          <w:sz w:val="20"/>
          <w:lang w:val="cs-CZ"/>
        </w:rPr>
        <w:t>, v souladu s INCOTERMS 2010, pokud není dohodnuto jinak</w:t>
      </w:r>
      <w:r w:rsidR="00860130" w:rsidRPr="000E0A22">
        <w:rPr>
          <w:sz w:val="20"/>
          <w:lang w:val="cs-CZ"/>
        </w:rPr>
        <w:t>.</w:t>
      </w:r>
    </w:p>
    <w:p w:rsidR="00860130" w:rsidRPr="000E0A22" w:rsidRDefault="00860130" w:rsidP="00860130">
      <w:pPr>
        <w:spacing w:line="240" w:lineRule="auto"/>
        <w:jc w:val="both"/>
        <w:rPr>
          <w:sz w:val="20"/>
          <w:lang w:val="cs-CZ"/>
        </w:rPr>
      </w:pPr>
    </w:p>
    <w:p w:rsidR="00860130" w:rsidRPr="00B27671" w:rsidRDefault="00B27671" w:rsidP="00860130">
      <w:pPr>
        <w:numPr>
          <w:ilvl w:val="1"/>
          <w:numId w:val="7"/>
        </w:numPr>
        <w:spacing w:line="240" w:lineRule="auto"/>
        <w:jc w:val="both"/>
        <w:rPr>
          <w:sz w:val="20"/>
          <w:lang w:val="cs-CZ"/>
        </w:rPr>
      </w:pPr>
      <w:r w:rsidRPr="00B27671">
        <w:rPr>
          <w:sz w:val="20"/>
          <w:lang w:val="cs-CZ"/>
        </w:rPr>
        <w:t>Ceny jsou uvedeny bez jakékoliv zákonné daně v zemi určení</w:t>
      </w:r>
      <w:r w:rsidR="00860130" w:rsidRPr="00B27671">
        <w:rPr>
          <w:sz w:val="20"/>
          <w:lang w:val="cs-CZ"/>
        </w:rPr>
        <w:t>.</w:t>
      </w:r>
    </w:p>
    <w:p w:rsidR="00860130" w:rsidRPr="00B27671" w:rsidRDefault="00860130" w:rsidP="00860130">
      <w:pPr>
        <w:jc w:val="both"/>
        <w:rPr>
          <w:sz w:val="20"/>
          <w:lang w:val="cs-CZ"/>
        </w:rPr>
      </w:pPr>
    </w:p>
    <w:p w:rsidR="00860130" w:rsidRPr="00B27671" w:rsidRDefault="00B27671" w:rsidP="00860130">
      <w:pPr>
        <w:numPr>
          <w:ilvl w:val="1"/>
          <w:numId w:val="7"/>
        </w:numPr>
        <w:spacing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SMLUVNÍ PARTNER </w:t>
      </w:r>
      <w:r w:rsidRPr="00B27671">
        <w:rPr>
          <w:sz w:val="20"/>
          <w:lang w:val="cs-CZ"/>
        </w:rPr>
        <w:t xml:space="preserve">je povinen informovat neprodleně EPCOS o jakémkoliv zřejmém zpoždění dodávky písemnou formou (e-mailem nebo faxem). Dodavatel může tvrdit, že zpoždění je mimo jeho kontrolu, </w:t>
      </w:r>
      <w:r>
        <w:rPr>
          <w:sz w:val="20"/>
          <w:lang w:val="cs-CZ"/>
        </w:rPr>
        <w:t>pouze pokud ihned oznámí EPCOS důvody.</w:t>
      </w:r>
    </w:p>
    <w:p w:rsidR="00860130" w:rsidRPr="00B27671" w:rsidRDefault="00860130" w:rsidP="00860130">
      <w:pPr>
        <w:jc w:val="both"/>
        <w:rPr>
          <w:sz w:val="20"/>
          <w:lang w:val="cs-CZ"/>
        </w:rPr>
      </w:pPr>
    </w:p>
    <w:p w:rsidR="00860130" w:rsidRPr="00B27671" w:rsidRDefault="00860130" w:rsidP="00860130">
      <w:pPr>
        <w:jc w:val="both"/>
        <w:rPr>
          <w:sz w:val="20"/>
          <w:lang w:val="cs-CZ"/>
        </w:rPr>
      </w:pPr>
    </w:p>
    <w:p w:rsidR="00860130" w:rsidRPr="00B27671" w:rsidRDefault="00860130" w:rsidP="00860130">
      <w:pPr>
        <w:jc w:val="both"/>
        <w:rPr>
          <w:sz w:val="20"/>
          <w:lang w:val="cs-CZ"/>
        </w:rPr>
      </w:pPr>
    </w:p>
    <w:p w:rsidR="00860130" w:rsidRPr="00610C00" w:rsidRDefault="00610C00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610C00">
        <w:rPr>
          <w:rFonts w:ascii="Arial" w:hAnsi="Arial"/>
          <w:sz w:val="24"/>
          <w:lang w:val="cs-CZ"/>
        </w:rPr>
        <w:t>Zpoždění dodávek</w:t>
      </w:r>
    </w:p>
    <w:p w:rsidR="00860130" w:rsidRPr="00610C00" w:rsidRDefault="00610C00" w:rsidP="00860130">
      <w:pPr>
        <w:numPr>
          <w:ilvl w:val="1"/>
          <w:numId w:val="8"/>
        </w:numPr>
        <w:spacing w:line="240" w:lineRule="auto"/>
        <w:jc w:val="both"/>
        <w:rPr>
          <w:sz w:val="20"/>
          <w:lang w:val="cs-CZ"/>
        </w:rPr>
      </w:pPr>
      <w:r w:rsidRPr="00610C00">
        <w:rPr>
          <w:sz w:val="20"/>
          <w:lang w:val="cs-CZ"/>
        </w:rPr>
        <w:t xml:space="preserve">V případě zpoždění </w:t>
      </w:r>
      <w:r>
        <w:rPr>
          <w:sz w:val="20"/>
          <w:lang w:val="cs-CZ"/>
        </w:rPr>
        <w:t>dodávky</w:t>
      </w:r>
      <w:r w:rsidRPr="00610C00">
        <w:rPr>
          <w:sz w:val="20"/>
          <w:lang w:val="cs-CZ"/>
        </w:rPr>
        <w:t xml:space="preserve"> ze strany </w:t>
      </w:r>
      <w:r>
        <w:rPr>
          <w:sz w:val="20"/>
          <w:lang w:val="cs-CZ"/>
        </w:rPr>
        <w:t>SMLUVNÍHO PARTNERA</w:t>
      </w:r>
      <w:r w:rsidRPr="00610C00">
        <w:rPr>
          <w:sz w:val="20"/>
          <w:lang w:val="cs-CZ"/>
        </w:rPr>
        <w:t xml:space="preserve"> je EPCOS, po uplynutí tolerované lhůty jednoho týdne, oprávněn účtovat smluvní pokutu ve výši </w:t>
      </w:r>
      <w:r w:rsidR="00934A43">
        <w:rPr>
          <w:sz w:val="20"/>
          <w:lang w:val="cs-CZ"/>
        </w:rPr>
        <w:t>0</w:t>
      </w:r>
      <w:r w:rsidRPr="00610C00">
        <w:rPr>
          <w:sz w:val="20"/>
          <w:lang w:val="cs-CZ"/>
        </w:rPr>
        <w:t>,</w:t>
      </w:r>
      <w:r w:rsidR="00934A43">
        <w:rPr>
          <w:sz w:val="20"/>
          <w:lang w:val="cs-CZ"/>
        </w:rPr>
        <w:t>5</w:t>
      </w:r>
      <w:r w:rsidR="00F65E11">
        <w:rPr>
          <w:sz w:val="20"/>
          <w:lang w:val="cs-CZ"/>
        </w:rPr>
        <w:t> </w:t>
      </w:r>
      <w:r w:rsidRPr="00610C00">
        <w:rPr>
          <w:sz w:val="20"/>
          <w:lang w:val="cs-CZ"/>
        </w:rPr>
        <w:t>% z</w:t>
      </w:r>
      <w:r>
        <w:rPr>
          <w:sz w:val="20"/>
          <w:lang w:val="cs-CZ"/>
        </w:rPr>
        <w:t xml:space="preserve"> celkové ceny opožděné dodávky</w:t>
      </w:r>
      <w:r w:rsidRPr="00610C00">
        <w:rPr>
          <w:sz w:val="20"/>
          <w:lang w:val="cs-CZ"/>
        </w:rPr>
        <w:t xml:space="preserve"> za</w:t>
      </w:r>
      <w:r>
        <w:rPr>
          <w:sz w:val="20"/>
          <w:lang w:val="cs-CZ"/>
        </w:rPr>
        <w:t> </w:t>
      </w:r>
      <w:r w:rsidRPr="00610C00">
        <w:rPr>
          <w:sz w:val="20"/>
          <w:lang w:val="cs-CZ"/>
        </w:rPr>
        <w:t>každý celý týden prodlení, maximálně do výše 1</w:t>
      </w:r>
      <w:r>
        <w:rPr>
          <w:sz w:val="20"/>
          <w:lang w:val="cs-CZ"/>
        </w:rPr>
        <w:t>5</w:t>
      </w:r>
      <w:r w:rsidR="00F65E11">
        <w:rPr>
          <w:sz w:val="20"/>
          <w:lang w:val="cs-CZ"/>
        </w:rPr>
        <w:t> </w:t>
      </w:r>
      <w:r w:rsidRPr="00610C00">
        <w:rPr>
          <w:sz w:val="20"/>
          <w:lang w:val="cs-CZ"/>
        </w:rPr>
        <w:t xml:space="preserve">% z </w:t>
      </w:r>
      <w:r>
        <w:rPr>
          <w:sz w:val="20"/>
          <w:lang w:val="cs-CZ"/>
        </w:rPr>
        <w:t>této</w:t>
      </w:r>
      <w:r w:rsidRPr="00610C00">
        <w:rPr>
          <w:sz w:val="20"/>
          <w:lang w:val="cs-CZ"/>
        </w:rPr>
        <w:t xml:space="preserve"> ceny</w:t>
      </w:r>
      <w:r>
        <w:rPr>
          <w:sz w:val="20"/>
          <w:lang w:val="cs-CZ"/>
        </w:rPr>
        <w:t>.</w:t>
      </w:r>
    </w:p>
    <w:p w:rsidR="00860130" w:rsidRPr="00610C00" w:rsidRDefault="00860130" w:rsidP="00860130">
      <w:pPr>
        <w:tabs>
          <w:tab w:val="left" w:pos="426"/>
        </w:tabs>
        <w:spacing w:line="0" w:lineRule="atLeast"/>
        <w:ind w:left="426" w:hanging="426"/>
        <w:jc w:val="both"/>
        <w:rPr>
          <w:sz w:val="20"/>
          <w:lang w:val="cs-CZ"/>
        </w:rPr>
      </w:pPr>
    </w:p>
    <w:p w:rsidR="00860130" w:rsidRPr="009F680A" w:rsidRDefault="009F680A" w:rsidP="009F680A">
      <w:pPr>
        <w:numPr>
          <w:ilvl w:val="1"/>
          <w:numId w:val="8"/>
        </w:numPr>
        <w:spacing w:line="240" w:lineRule="auto"/>
        <w:jc w:val="both"/>
        <w:rPr>
          <w:sz w:val="20"/>
          <w:lang w:val="cs-CZ"/>
        </w:rPr>
      </w:pPr>
      <w:r w:rsidRPr="009F680A">
        <w:rPr>
          <w:sz w:val="20"/>
          <w:lang w:val="cs-CZ"/>
        </w:rPr>
        <w:t xml:space="preserve">EPCOS může uplatnit své právo účtovat smluvní pokutu až do okamžiku úhrady poslední </w:t>
      </w:r>
      <w:r>
        <w:rPr>
          <w:sz w:val="20"/>
          <w:lang w:val="cs-CZ"/>
        </w:rPr>
        <w:t>platby za dodávku dle příslušné</w:t>
      </w:r>
      <w:r w:rsidRPr="009F680A">
        <w:rPr>
          <w:sz w:val="20"/>
          <w:lang w:val="cs-CZ"/>
        </w:rPr>
        <w:t>, aniž by musel vyjádřit své výhrady při převzetí dodávky. EPCOS je však povinen uplatnit smluvní pokutu písemně, ihned jakmile došlo ke zpoždění dodávky.</w:t>
      </w:r>
    </w:p>
    <w:p w:rsidR="009F680A" w:rsidRPr="009F680A" w:rsidRDefault="009F680A" w:rsidP="009F680A">
      <w:pPr>
        <w:spacing w:line="240" w:lineRule="auto"/>
        <w:jc w:val="both"/>
        <w:rPr>
          <w:sz w:val="20"/>
          <w:lang w:val="cs-CZ"/>
        </w:rPr>
      </w:pPr>
    </w:p>
    <w:p w:rsidR="00860130" w:rsidRPr="00462876" w:rsidRDefault="00462876" w:rsidP="00860130">
      <w:pPr>
        <w:numPr>
          <w:ilvl w:val="1"/>
          <w:numId w:val="8"/>
        </w:numPr>
        <w:spacing w:line="240" w:lineRule="auto"/>
        <w:jc w:val="both"/>
        <w:rPr>
          <w:sz w:val="20"/>
          <w:lang w:val="cs-CZ"/>
        </w:rPr>
      </w:pPr>
      <w:r w:rsidRPr="00462876">
        <w:rPr>
          <w:sz w:val="20"/>
          <w:lang w:val="cs-CZ"/>
        </w:rPr>
        <w:t xml:space="preserve">Zaplacená smluvní pokuta může být započtena oproti </w:t>
      </w:r>
      <w:r w:rsidR="00934A43" w:rsidRPr="00462876">
        <w:rPr>
          <w:sz w:val="20"/>
          <w:lang w:val="cs-CZ"/>
        </w:rPr>
        <w:t>jakémukoliv</w:t>
      </w:r>
      <w:r w:rsidRPr="00462876">
        <w:rPr>
          <w:sz w:val="20"/>
          <w:lang w:val="cs-CZ"/>
        </w:rPr>
        <w:t xml:space="preserve"> nároku na náhradu škody v důsledku opožděného </w:t>
      </w:r>
      <w:r>
        <w:rPr>
          <w:sz w:val="20"/>
          <w:lang w:val="cs-CZ"/>
        </w:rPr>
        <w:t>dodávky</w:t>
      </w:r>
      <w:r w:rsidR="00860130" w:rsidRPr="00462876">
        <w:rPr>
          <w:sz w:val="20"/>
          <w:lang w:val="cs-CZ"/>
        </w:rPr>
        <w:t>.</w:t>
      </w:r>
    </w:p>
    <w:p w:rsidR="00860130" w:rsidRPr="00462876" w:rsidRDefault="00860130" w:rsidP="00860130">
      <w:pPr>
        <w:jc w:val="both"/>
        <w:rPr>
          <w:sz w:val="20"/>
          <w:lang w:val="cs-CZ"/>
        </w:rPr>
      </w:pPr>
    </w:p>
    <w:p w:rsidR="00860130" w:rsidRPr="00462876" w:rsidRDefault="00860130" w:rsidP="00860130">
      <w:pPr>
        <w:jc w:val="both"/>
        <w:rPr>
          <w:sz w:val="20"/>
          <w:lang w:val="cs-CZ"/>
        </w:rPr>
      </w:pPr>
    </w:p>
    <w:p w:rsidR="00860130" w:rsidRPr="00A40D58" w:rsidRDefault="00A40D58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A40D58">
        <w:rPr>
          <w:rFonts w:ascii="Arial" w:hAnsi="Arial"/>
          <w:sz w:val="24"/>
          <w:lang w:val="cs-CZ"/>
        </w:rPr>
        <w:t>Vyšší moc</w:t>
      </w:r>
    </w:p>
    <w:p w:rsidR="00860130" w:rsidRPr="00A40D58" w:rsidRDefault="00A40D58" w:rsidP="00860130">
      <w:pPr>
        <w:numPr>
          <w:ilvl w:val="1"/>
          <w:numId w:val="9"/>
        </w:numPr>
        <w:spacing w:line="240" w:lineRule="auto"/>
        <w:jc w:val="both"/>
        <w:rPr>
          <w:sz w:val="20"/>
          <w:lang w:val="cs-CZ"/>
        </w:rPr>
      </w:pPr>
      <w:r w:rsidRPr="00A40D58">
        <w:rPr>
          <w:sz w:val="20"/>
          <w:lang w:val="cs-CZ"/>
        </w:rPr>
        <w:t>Pokud je nedodržení termínů a lhůt způsobeno vyšší mocí, pracovními spory, povstáním, regulačními opatřeními a jinými nepředvídatelnými, nevyhnutelnými a vážnými incidenty, obě Smluvní strany mohou být osvobozeny od smluvních povinností po dobu trvání mimořádného stavu a v rozsahu jeho vlivu</w:t>
      </w:r>
      <w:r w:rsidR="00860130" w:rsidRPr="00A40D58">
        <w:rPr>
          <w:sz w:val="20"/>
          <w:lang w:val="cs-CZ"/>
        </w:rPr>
        <w:t>.</w:t>
      </w:r>
    </w:p>
    <w:p w:rsidR="00860130" w:rsidRPr="00A40D58" w:rsidRDefault="00860130" w:rsidP="00860130">
      <w:pPr>
        <w:tabs>
          <w:tab w:val="left" w:pos="426"/>
        </w:tabs>
        <w:spacing w:line="0" w:lineRule="atLeast"/>
        <w:ind w:left="454" w:hanging="454"/>
        <w:jc w:val="both"/>
        <w:rPr>
          <w:sz w:val="20"/>
          <w:lang w:val="cs-CZ"/>
        </w:rPr>
      </w:pPr>
    </w:p>
    <w:p w:rsidR="00860130" w:rsidRPr="00631081" w:rsidRDefault="00393DC6" w:rsidP="00860130">
      <w:pPr>
        <w:numPr>
          <w:ilvl w:val="1"/>
          <w:numId w:val="5"/>
        </w:numPr>
        <w:tabs>
          <w:tab w:val="clear" w:pos="360"/>
          <w:tab w:val="left" w:pos="426"/>
        </w:tabs>
        <w:spacing w:line="0" w:lineRule="atLeast"/>
        <w:ind w:left="426" w:hanging="426"/>
        <w:jc w:val="both"/>
        <w:rPr>
          <w:sz w:val="20"/>
          <w:lang w:val="cs-CZ"/>
        </w:rPr>
      </w:pPr>
      <w:r w:rsidRPr="00393DC6">
        <w:rPr>
          <w:sz w:val="20"/>
          <w:lang w:val="cs-CZ"/>
        </w:rPr>
        <w:t xml:space="preserve">V </w:t>
      </w:r>
      <w:r>
        <w:rPr>
          <w:sz w:val="20"/>
          <w:lang w:val="cs-CZ"/>
        </w:rPr>
        <w:t>pří</w:t>
      </w:r>
      <w:r w:rsidRPr="00393DC6">
        <w:rPr>
          <w:sz w:val="20"/>
          <w:lang w:val="cs-CZ"/>
        </w:rPr>
        <w:t xml:space="preserve">padě stávky, výluky, přerušení činnosti či jiných okolností mimo kontrolu </w:t>
      </w:r>
      <w:r>
        <w:rPr>
          <w:sz w:val="20"/>
          <w:lang w:val="cs-CZ"/>
        </w:rPr>
        <w:t>EPCOS</w:t>
      </w:r>
      <w:r w:rsidRPr="00393DC6">
        <w:rPr>
          <w:sz w:val="20"/>
          <w:lang w:val="cs-CZ"/>
        </w:rPr>
        <w:t xml:space="preserve">, které ovlivňují zájmy </w:t>
      </w:r>
      <w:r>
        <w:rPr>
          <w:sz w:val="20"/>
          <w:lang w:val="cs-CZ"/>
        </w:rPr>
        <w:t>EPCOS v plnění ze strany SMLUVNÍHO PARTNERA</w:t>
      </w:r>
      <w:r w:rsidRPr="00393DC6">
        <w:rPr>
          <w:sz w:val="20"/>
          <w:lang w:val="cs-CZ"/>
        </w:rPr>
        <w:t xml:space="preserve">, a v případě, že mimořádný stav trvá déle než 5 týdnů, </w:t>
      </w:r>
      <w:r>
        <w:rPr>
          <w:sz w:val="20"/>
          <w:lang w:val="cs-CZ"/>
        </w:rPr>
        <w:t>EPCOS</w:t>
      </w:r>
      <w:r w:rsidRPr="00393DC6">
        <w:rPr>
          <w:sz w:val="20"/>
          <w:lang w:val="cs-CZ"/>
        </w:rPr>
        <w:t xml:space="preserve"> j</w:t>
      </w:r>
      <w:r w:rsidR="00CF30E4">
        <w:rPr>
          <w:sz w:val="20"/>
          <w:lang w:val="cs-CZ"/>
        </w:rPr>
        <w:t>e</w:t>
      </w:r>
      <w:r w:rsidRPr="00393DC6">
        <w:rPr>
          <w:sz w:val="20"/>
          <w:lang w:val="cs-CZ"/>
        </w:rPr>
        <w:t xml:space="preserve"> oprávněn </w:t>
      </w:r>
      <w:r w:rsidR="00CF30E4" w:rsidRPr="00393DC6">
        <w:rPr>
          <w:sz w:val="20"/>
          <w:lang w:val="cs-CZ"/>
        </w:rPr>
        <w:t xml:space="preserve">částečně nebo zcela </w:t>
      </w:r>
      <w:r w:rsidRPr="00393DC6">
        <w:rPr>
          <w:sz w:val="20"/>
          <w:lang w:val="cs-CZ"/>
        </w:rPr>
        <w:t>odstoupit od této Do</w:t>
      </w:r>
      <w:r w:rsidR="00CF30E4">
        <w:rPr>
          <w:sz w:val="20"/>
          <w:lang w:val="cs-CZ"/>
        </w:rPr>
        <w:t>hody</w:t>
      </w:r>
      <w:r w:rsidRPr="00393DC6">
        <w:rPr>
          <w:sz w:val="20"/>
          <w:lang w:val="cs-CZ"/>
        </w:rPr>
        <w:t xml:space="preserve">. </w:t>
      </w:r>
      <w:r w:rsidR="00CF30E4">
        <w:rPr>
          <w:sz w:val="20"/>
          <w:lang w:val="cs-CZ"/>
        </w:rPr>
        <w:t xml:space="preserve">EPCOS je rovněž oprávněn požadovat plnění </w:t>
      </w:r>
      <w:r w:rsidRPr="00393DC6">
        <w:rPr>
          <w:sz w:val="20"/>
          <w:lang w:val="cs-CZ"/>
        </w:rPr>
        <w:t xml:space="preserve">s pozdějším datem odpovídajícím době narušení. </w:t>
      </w:r>
      <w:r w:rsidR="00CF30E4">
        <w:rPr>
          <w:sz w:val="20"/>
          <w:lang w:val="cs-CZ"/>
        </w:rPr>
        <w:t xml:space="preserve">Ustanovení popsané v bodě 4.5 se vztahuje na tento případ. </w:t>
      </w:r>
      <w:r w:rsidRPr="00CF30E4">
        <w:rPr>
          <w:sz w:val="20"/>
          <w:lang w:val="cs-CZ"/>
        </w:rPr>
        <w:t xml:space="preserve">Žádné další nároky nelze proti </w:t>
      </w:r>
      <w:r w:rsidR="00631081">
        <w:rPr>
          <w:sz w:val="20"/>
          <w:lang w:val="cs-CZ"/>
        </w:rPr>
        <w:t>EPCOS</w:t>
      </w:r>
      <w:r w:rsidRPr="00CF30E4">
        <w:rPr>
          <w:sz w:val="20"/>
          <w:lang w:val="cs-CZ"/>
        </w:rPr>
        <w:t xml:space="preserve"> podle této dohody uplatňovat</w:t>
      </w:r>
      <w:r w:rsidR="00631081">
        <w:rPr>
          <w:sz w:val="20"/>
          <w:lang w:val="cs-CZ"/>
        </w:rPr>
        <w:t>.</w:t>
      </w:r>
    </w:p>
    <w:p w:rsidR="00860130" w:rsidRPr="00631081" w:rsidRDefault="00860130" w:rsidP="00860130">
      <w:pPr>
        <w:tabs>
          <w:tab w:val="left" w:pos="426"/>
        </w:tabs>
        <w:spacing w:line="0" w:lineRule="atLeast"/>
        <w:jc w:val="both"/>
        <w:rPr>
          <w:sz w:val="20"/>
          <w:lang w:val="cs-CZ"/>
        </w:rPr>
      </w:pPr>
    </w:p>
    <w:p w:rsidR="00860130" w:rsidRPr="00631081" w:rsidRDefault="00631081" w:rsidP="00860130">
      <w:pPr>
        <w:numPr>
          <w:ilvl w:val="1"/>
          <w:numId w:val="5"/>
        </w:numPr>
        <w:tabs>
          <w:tab w:val="clear" w:pos="360"/>
          <w:tab w:val="left" w:pos="426"/>
        </w:tabs>
        <w:spacing w:line="0" w:lineRule="atLeast"/>
        <w:ind w:left="426" w:hanging="426"/>
        <w:jc w:val="both"/>
        <w:rPr>
          <w:sz w:val="20"/>
          <w:lang w:val="cs-CZ"/>
        </w:rPr>
      </w:pPr>
      <w:r w:rsidRPr="00631081">
        <w:rPr>
          <w:sz w:val="20"/>
          <w:lang w:val="cs-CZ"/>
        </w:rPr>
        <w:t>Smluvní strany jsou povinny neprodleně poskytnout požadované informace a přizpůsobit své závazky změněným podmínkám v rozumné míře</w:t>
      </w:r>
      <w:r w:rsidR="00860130" w:rsidRPr="00631081">
        <w:rPr>
          <w:sz w:val="20"/>
          <w:lang w:val="cs-CZ"/>
        </w:rPr>
        <w:t>.</w:t>
      </w:r>
    </w:p>
    <w:p w:rsidR="00860130" w:rsidRPr="00631081" w:rsidRDefault="00860130" w:rsidP="00860130">
      <w:pPr>
        <w:jc w:val="both"/>
        <w:rPr>
          <w:sz w:val="20"/>
          <w:lang w:val="cs-CZ"/>
        </w:rPr>
      </w:pPr>
    </w:p>
    <w:p w:rsidR="00860130" w:rsidRPr="00631081" w:rsidRDefault="00860130" w:rsidP="00860130">
      <w:pPr>
        <w:jc w:val="both"/>
        <w:rPr>
          <w:sz w:val="20"/>
          <w:lang w:val="cs-CZ"/>
        </w:rPr>
      </w:pPr>
    </w:p>
    <w:p w:rsidR="00860130" w:rsidRPr="00C01A92" w:rsidRDefault="00C01A92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pt-BR"/>
        </w:rPr>
      </w:pPr>
      <w:r w:rsidRPr="00C01A92">
        <w:rPr>
          <w:rFonts w:ascii="Arial" w:hAnsi="Arial"/>
          <w:sz w:val="24"/>
          <w:lang w:val="pt-BR"/>
        </w:rPr>
        <w:t>Oznámení o závadě, servis a záruka</w:t>
      </w:r>
    </w:p>
    <w:p w:rsidR="00860130" w:rsidRPr="00F26DC3" w:rsidRDefault="005D371E" w:rsidP="00860130">
      <w:pPr>
        <w:numPr>
          <w:ilvl w:val="1"/>
          <w:numId w:val="10"/>
        </w:numPr>
        <w:spacing w:line="240" w:lineRule="auto"/>
        <w:jc w:val="both"/>
        <w:rPr>
          <w:sz w:val="20"/>
          <w:lang w:val="pt-BR"/>
        </w:rPr>
      </w:pPr>
      <w:r w:rsidRPr="005D371E">
        <w:rPr>
          <w:sz w:val="20"/>
          <w:lang w:val="pt-BR"/>
        </w:rPr>
        <w:t>EPCOS je povinen provádět vstupní kontrolu jen u zjevných vad a poškození při přepravě, stejně jako pro</w:t>
      </w:r>
      <w:r>
        <w:rPr>
          <w:sz w:val="20"/>
          <w:lang w:val="pt-BR"/>
        </w:rPr>
        <w:t> </w:t>
      </w:r>
      <w:r w:rsidRPr="005D371E">
        <w:rPr>
          <w:sz w:val="20"/>
          <w:lang w:val="pt-BR"/>
        </w:rPr>
        <w:t>odchylky v množství a shodě, ale ne pro ostatní vady. V zájmu zachování příslušných práv, postačí zaslat oznámení o vadě ve lhůtě dvou týdnů od dodávky nebo od zjištění vady</w:t>
      </w:r>
      <w:r w:rsidR="00860130" w:rsidRPr="00F26DC3">
        <w:rPr>
          <w:sz w:val="20"/>
          <w:lang w:val="pt-BR"/>
        </w:rPr>
        <w:t>.</w:t>
      </w:r>
    </w:p>
    <w:p w:rsidR="00860130" w:rsidRPr="00F26DC3" w:rsidRDefault="00860130" w:rsidP="00860130">
      <w:pPr>
        <w:spacing w:line="240" w:lineRule="auto"/>
        <w:jc w:val="both"/>
        <w:outlineLvl w:val="1"/>
        <w:rPr>
          <w:sz w:val="20"/>
          <w:lang w:val="pt-BR"/>
        </w:rPr>
      </w:pPr>
    </w:p>
    <w:p w:rsidR="00860130" w:rsidRPr="00F26DC3" w:rsidRDefault="00F26DC3" w:rsidP="00860130">
      <w:pPr>
        <w:numPr>
          <w:ilvl w:val="1"/>
          <w:numId w:val="4"/>
        </w:numPr>
        <w:spacing w:line="240" w:lineRule="auto"/>
        <w:jc w:val="both"/>
        <w:outlineLvl w:val="1"/>
        <w:rPr>
          <w:sz w:val="20"/>
          <w:lang w:val="pt-BR"/>
        </w:rPr>
      </w:pPr>
      <w:r w:rsidRPr="00F26DC3">
        <w:rPr>
          <w:sz w:val="20"/>
          <w:lang w:val="pt-BR"/>
        </w:rPr>
        <w:t>Pokud se vada projeví před nebo v průběhu záruční doby, SMLUVNÍ PARTNER podle vlastní volby buď vadu odstraní nebo poskytne dodávku a služby bez vady na vlastní náklady.</w:t>
      </w:r>
    </w:p>
    <w:p w:rsidR="00860130" w:rsidRPr="00F26DC3" w:rsidRDefault="00860130" w:rsidP="00860130">
      <w:pPr>
        <w:spacing w:line="240" w:lineRule="auto"/>
        <w:jc w:val="both"/>
        <w:outlineLvl w:val="1"/>
        <w:rPr>
          <w:sz w:val="20"/>
          <w:lang w:val="pt-BR"/>
        </w:rPr>
      </w:pPr>
    </w:p>
    <w:p w:rsidR="00860130" w:rsidRPr="00F26DC3" w:rsidRDefault="00F26DC3" w:rsidP="00860130">
      <w:pPr>
        <w:numPr>
          <w:ilvl w:val="1"/>
          <w:numId w:val="4"/>
        </w:numPr>
        <w:spacing w:line="240" w:lineRule="auto"/>
        <w:jc w:val="both"/>
        <w:outlineLvl w:val="1"/>
        <w:rPr>
          <w:sz w:val="20"/>
          <w:lang w:val="pt-BR"/>
        </w:rPr>
      </w:pPr>
      <w:r>
        <w:rPr>
          <w:sz w:val="20"/>
          <w:lang w:val="pt-BR"/>
        </w:rPr>
        <w:t>SMLUVNÍ PARTNER</w:t>
      </w:r>
      <w:r w:rsidRPr="00F26DC3">
        <w:rPr>
          <w:sz w:val="20"/>
          <w:lang w:val="pt-BR"/>
        </w:rPr>
        <w:t xml:space="preserve"> ručí za použitelnost pro daný účel, perfektní kvalitu a dodržování smluvně dohodnutých vlastností dodávky. Jakékoliv odchylky dodávky a služeb od specifických vlastností se považují za vadu.</w:t>
      </w:r>
    </w:p>
    <w:p w:rsidR="00860130" w:rsidRPr="00F26DC3" w:rsidRDefault="00860130" w:rsidP="00860130">
      <w:pPr>
        <w:spacing w:line="240" w:lineRule="auto"/>
        <w:jc w:val="both"/>
        <w:outlineLvl w:val="1"/>
        <w:rPr>
          <w:sz w:val="20"/>
          <w:lang w:val="pt-BR"/>
        </w:rPr>
      </w:pPr>
    </w:p>
    <w:p w:rsidR="0056792A" w:rsidRPr="00283CE0" w:rsidRDefault="00145EFC" w:rsidP="00860130">
      <w:pPr>
        <w:numPr>
          <w:ilvl w:val="1"/>
          <w:numId w:val="4"/>
        </w:numPr>
        <w:spacing w:line="240" w:lineRule="auto"/>
        <w:jc w:val="both"/>
        <w:outlineLvl w:val="1"/>
        <w:rPr>
          <w:sz w:val="20"/>
          <w:lang w:val="pt-BR"/>
        </w:rPr>
      </w:pPr>
      <w:r w:rsidRPr="00145EFC">
        <w:rPr>
          <w:sz w:val="20"/>
          <w:lang w:val="pt-BR"/>
        </w:rPr>
        <w:t xml:space="preserve">Záruční doba je </w:t>
      </w:r>
      <w:r w:rsidR="005F6DA0" w:rsidRPr="00023B07">
        <w:rPr>
          <w:sz w:val="20"/>
          <w:lang w:val="pt-BR"/>
        </w:rPr>
        <w:t xml:space="preserve">minimálně </w:t>
      </w:r>
      <w:r w:rsidRPr="00023B07">
        <w:rPr>
          <w:sz w:val="20"/>
          <w:lang w:val="pt-BR"/>
        </w:rPr>
        <w:t>24 měsíců</w:t>
      </w:r>
      <w:r w:rsidRPr="00145EFC">
        <w:rPr>
          <w:sz w:val="20"/>
          <w:lang w:val="pt-BR"/>
        </w:rPr>
        <w:t xml:space="preserve"> a začíná po úspěšném </w:t>
      </w:r>
      <w:r>
        <w:rPr>
          <w:sz w:val="20"/>
          <w:lang w:val="pt-BR"/>
        </w:rPr>
        <w:t>ukončení</w:t>
      </w:r>
      <w:r w:rsidRPr="00145EFC">
        <w:rPr>
          <w:sz w:val="20"/>
          <w:lang w:val="pt-BR"/>
        </w:rPr>
        <w:t xml:space="preserve"> konečné přejímací zkoušky EPCOS (</w:t>
      </w:r>
      <w:r>
        <w:rPr>
          <w:sz w:val="20"/>
          <w:lang w:val="pt-BR"/>
        </w:rPr>
        <w:t>ukončení</w:t>
      </w:r>
      <w:r w:rsidRPr="00145EFC">
        <w:rPr>
          <w:sz w:val="20"/>
          <w:lang w:val="pt-BR"/>
        </w:rPr>
        <w:t xml:space="preserve"> zkušebního provozu), včetně podepsaného protokolu o konečné přejímací zkoušce. </w:t>
      </w:r>
      <w:r>
        <w:rPr>
          <w:sz w:val="20"/>
          <w:lang w:val="pt-BR"/>
        </w:rPr>
        <w:t>Jestliže SMLUVNÍ PARTNER</w:t>
      </w:r>
      <w:r w:rsidRPr="00145EFC">
        <w:rPr>
          <w:sz w:val="20"/>
          <w:lang w:val="pt-BR"/>
        </w:rPr>
        <w:t xml:space="preserve"> neprovedl dodání v dohodnutém termínu a EPCOS má zájem na odstranění vady okamžitě, aby se zabránilo prodlení z jeho strany nebo z jiných naléhavých důvodů, EPCOS je oprávněn v</w:t>
      </w:r>
      <w:r w:rsidR="005F6DA0">
        <w:rPr>
          <w:sz w:val="20"/>
          <w:lang w:val="pt-BR"/>
        </w:rPr>
        <w:t> </w:t>
      </w:r>
      <w:r w:rsidRPr="00145EFC">
        <w:rPr>
          <w:sz w:val="20"/>
          <w:lang w:val="pt-BR"/>
        </w:rPr>
        <w:t xml:space="preserve">souladu se zásadou přiměřenosti a po předchozím písemném oznámením </w:t>
      </w:r>
      <w:r w:rsidR="00283CE0">
        <w:rPr>
          <w:sz w:val="20"/>
          <w:lang w:val="pt-BR"/>
        </w:rPr>
        <w:t>SMLUVNÍMU PARTNEROVI</w:t>
      </w:r>
      <w:r w:rsidRPr="00145EFC">
        <w:rPr>
          <w:sz w:val="20"/>
          <w:lang w:val="pt-BR"/>
        </w:rPr>
        <w:t xml:space="preserve">, opatřit si náhradu nebo odstranění vad nebo si je nechat odstranit třetí osobou na náklady </w:t>
      </w:r>
      <w:r w:rsidR="00283CE0">
        <w:rPr>
          <w:sz w:val="20"/>
          <w:lang w:val="pt-BR"/>
        </w:rPr>
        <w:t>SMLUVNÍHO PARTNERA.</w:t>
      </w:r>
    </w:p>
    <w:p w:rsidR="001E05E3" w:rsidRPr="00501E74" w:rsidRDefault="001E05E3" w:rsidP="001E05E3">
      <w:pPr>
        <w:spacing w:line="240" w:lineRule="auto"/>
        <w:jc w:val="both"/>
        <w:outlineLvl w:val="1"/>
        <w:rPr>
          <w:sz w:val="20"/>
          <w:lang w:val="cs-CZ"/>
        </w:rPr>
      </w:pPr>
    </w:p>
    <w:p w:rsidR="00860130" w:rsidRPr="00501E74" w:rsidRDefault="00192EC5" w:rsidP="00860130">
      <w:pPr>
        <w:numPr>
          <w:ilvl w:val="1"/>
          <w:numId w:val="4"/>
        </w:numPr>
        <w:spacing w:line="240" w:lineRule="auto"/>
        <w:jc w:val="both"/>
        <w:outlineLvl w:val="1"/>
        <w:rPr>
          <w:sz w:val="20"/>
          <w:lang w:val="cs-CZ"/>
        </w:rPr>
      </w:pPr>
      <w:r w:rsidRPr="00501E74">
        <w:rPr>
          <w:sz w:val="20"/>
          <w:lang w:val="cs-CZ"/>
        </w:rPr>
        <w:t xml:space="preserve">Záruční doba na náhradní díly / komponenty musí být </w:t>
      </w:r>
      <w:r w:rsidR="005F6DA0" w:rsidRPr="00023B07">
        <w:rPr>
          <w:sz w:val="20"/>
          <w:lang w:val="cs-CZ"/>
        </w:rPr>
        <w:t xml:space="preserve">minimálně </w:t>
      </w:r>
      <w:r w:rsidRPr="00023B07">
        <w:rPr>
          <w:sz w:val="20"/>
          <w:lang w:val="cs-CZ"/>
        </w:rPr>
        <w:t>24</w:t>
      </w:r>
      <w:r w:rsidRPr="00501E74">
        <w:rPr>
          <w:sz w:val="20"/>
          <w:lang w:val="cs-CZ"/>
        </w:rPr>
        <w:t xml:space="preserve"> měsíců a začíná dnem dodání a převodu rizika</w:t>
      </w:r>
      <w:r w:rsidR="005F6DA0">
        <w:rPr>
          <w:sz w:val="20"/>
          <w:lang w:val="cs-CZ"/>
        </w:rPr>
        <w:t>, není-li dohodnuto jinak</w:t>
      </w:r>
      <w:r w:rsidRPr="00501E74">
        <w:rPr>
          <w:sz w:val="20"/>
          <w:lang w:val="cs-CZ"/>
        </w:rPr>
        <w:t>.</w:t>
      </w:r>
    </w:p>
    <w:p w:rsidR="00860130" w:rsidRPr="00501E74" w:rsidRDefault="00860130" w:rsidP="00860130">
      <w:pPr>
        <w:jc w:val="both"/>
        <w:rPr>
          <w:sz w:val="20"/>
          <w:lang w:val="cs-CZ"/>
        </w:rPr>
      </w:pPr>
    </w:p>
    <w:p w:rsidR="001E05E3" w:rsidRPr="00501E74" w:rsidRDefault="001E05E3" w:rsidP="00860130">
      <w:pPr>
        <w:jc w:val="both"/>
        <w:rPr>
          <w:sz w:val="20"/>
          <w:lang w:val="cs-CZ"/>
        </w:rPr>
      </w:pPr>
    </w:p>
    <w:p w:rsidR="00860130" w:rsidRPr="00501E74" w:rsidRDefault="00D30F13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501E74">
        <w:rPr>
          <w:rFonts w:ascii="Arial" w:hAnsi="Arial"/>
          <w:sz w:val="24"/>
          <w:lang w:val="cs-CZ"/>
        </w:rPr>
        <w:t>Převod rizika a dodání</w:t>
      </w:r>
    </w:p>
    <w:p w:rsidR="00860130" w:rsidRPr="00501E74" w:rsidRDefault="00686CE5" w:rsidP="00860130">
      <w:pPr>
        <w:numPr>
          <w:ilvl w:val="1"/>
          <w:numId w:val="14"/>
        </w:numPr>
        <w:spacing w:line="240" w:lineRule="auto"/>
        <w:jc w:val="both"/>
        <w:outlineLvl w:val="1"/>
        <w:rPr>
          <w:sz w:val="20"/>
          <w:lang w:val="cs-CZ"/>
        </w:rPr>
      </w:pPr>
      <w:r w:rsidRPr="00501E74">
        <w:rPr>
          <w:sz w:val="20"/>
          <w:lang w:val="cs-CZ"/>
        </w:rPr>
        <w:t>Není-li dohodnuto jinak, riziko za dodané zboží musí být převedeno v souladu s INCOTERMS 2010 (viz 5.2)</w:t>
      </w:r>
      <w:r w:rsidR="00860130" w:rsidRPr="00501E74">
        <w:rPr>
          <w:sz w:val="20"/>
          <w:lang w:val="cs-CZ"/>
        </w:rPr>
        <w:t>.</w:t>
      </w:r>
    </w:p>
    <w:p w:rsidR="00860130" w:rsidRPr="00501E74" w:rsidRDefault="00860130" w:rsidP="00860130">
      <w:pPr>
        <w:spacing w:line="240" w:lineRule="auto"/>
        <w:jc w:val="both"/>
        <w:rPr>
          <w:sz w:val="20"/>
          <w:lang w:val="cs-CZ"/>
        </w:rPr>
      </w:pPr>
    </w:p>
    <w:p w:rsidR="00860130" w:rsidRPr="00235E8C" w:rsidRDefault="00501E74" w:rsidP="00860130">
      <w:pPr>
        <w:numPr>
          <w:ilvl w:val="1"/>
          <w:numId w:val="14"/>
        </w:numPr>
        <w:tabs>
          <w:tab w:val="num" w:pos="540"/>
        </w:tabs>
        <w:spacing w:line="240" w:lineRule="auto"/>
        <w:jc w:val="both"/>
        <w:outlineLvl w:val="1"/>
        <w:rPr>
          <w:sz w:val="20"/>
          <w:lang w:val="cs-CZ"/>
        </w:rPr>
      </w:pPr>
      <w:r w:rsidRPr="00501E74">
        <w:rPr>
          <w:sz w:val="20"/>
          <w:lang w:val="cs-CZ"/>
        </w:rPr>
        <w:t xml:space="preserve">Není-li dohodnuto jinak, </w:t>
      </w:r>
      <w:r>
        <w:rPr>
          <w:sz w:val="20"/>
          <w:lang w:val="cs-CZ"/>
        </w:rPr>
        <w:t>SMLUVNÍ PARTNER</w:t>
      </w:r>
      <w:r w:rsidRPr="00501E74">
        <w:rPr>
          <w:sz w:val="20"/>
          <w:lang w:val="cs-CZ"/>
        </w:rPr>
        <w:t xml:space="preserve"> zaplatí všechny náklady na odeslání a balné. Pokud jsou ceny uváděny ex </w:t>
      </w:r>
      <w:proofErr w:type="spellStart"/>
      <w:r w:rsidRPr="00501E74">
        <w:rPr>
          <w:sz w:val="20"/>
          <w:lang w:val="cs-CZ"/>
        </w:rPr>
        <w:t>works</w:t>
      </w:r>
      <w:proofErr w:type="spellEnd"/>
      <w:r w:rsidRPr="00501E74">
        <w:rPr>
          <w:sz w:val="20"/>
          <w:lang w:val="cs-CZ"/>
        </w:rPr>
        <w:t xml:space="preserve"> </w:t>
      </w:r>
      <w:r>
        <w:rPr>
          <w:sz w:val="20"/>
          <w:lang w:val="cs-CZ"/>
        </w:rPr>
        <w:t xml:space="preserve">(ze závodu) </w:t>
      </w:r>
      <w:r w:rsidRPr="00501E74">
        <w:rPr>
          <w:sz w:val="20"/>
          <w:lang w:val="cs-CZ"/>
        </w:rPr>
        <w:t xml:space="preserve">nebo ex </w:t>
      </w:r>
      <w:proofErr w:type="spellStart"/>
      <w:r w:rsidRPr="00501E74">
        <w:rPr>
          <w:sz w:val="20"/>
          <w:lang w:val="cs-CZ"/>
        </w:rPr>
        <w:t>warehouse</w:t>
      </w:r>
      <w:proofErr w:type="spellEnd"/>
      <w:r w:rsidRPr="00501E74">
        <w:rPr>
          <w:sz w:val="20"/>
          <w:lang w:val="cs-CZ"/>
        </w:rPr>
        <w:t xml:space="preserve"> (ze skladu), musí být zboží dodáno s nejnižšími možnými náklady, pokud EPCOS neurčil konkrétní typ přepravy jinak. </w:t>
      </w:r>
      <w:r>
        <w:rPr>
          <w:sz w:val="20"/>
          <w:lang w:val="cs-CZ"/>
        </w:rPr>
        <w:t xml:space="preserve">Pokud jsou ceny určeny DAP, EPCOS může určit konkrétní typ přepravy. </w:t>
      </w:r>
      <w:r w:rsidRPr="00501E74">
        <w:rPr>
          <w:sz w:val="20"/>
          <w:lang w:val="cs-CZ"/>
        </w:rPr>
        <w:t xml:space="preserve">Veškeré další náklady vyplývající z nedodržení předpisů pro zásilky a případné další náklady vzniklé z důvodu nutného expresního doručení tak, aby byl splněn termín dodání, nese </w:t>
      </w:r>
      <w:r>
        <w:rPr>
          <w:sz w:val="20"/>
          <w:lang w:val="cs-CZ"/>
        </w:rPr>
        <w:t>SMLUVNÍ PARTNER</w:t>
      </w:r>
      <w:r w:rsidR="00860130" w:rsidRPr="00235E8C">
        <w:rPr>
          <w:sz w:val="20"/>
          <w:lang w:val="cs-CZ"/>
        </w:rPr>
        <w:t>.</w:t>
      </w:r>
    </w:p>
    <w:p w:rsidR="00860130" w:rsidRPr="00235E8C" w:rsidRDefault="00860130" w:rsidP="00860130">
      <w:pPr>
        <w:tabs>
          <w:tab w:val="left" w:pos="567"/>
        </w:tabs>
        <w:spacing w:line="240" w:lineRule="auto"/>
        <w:jc w:val="both"/>
        <w:rPr>
          <w:sz w:val="20"/>
          <w:lang w:val="cs-CZ"/>
        </w:rPr>
      </w:pPr>
    </w:p>
    <w:p w:rsidR="00860130" w:rsidRPr="00235E8C" w:rsidRDefault="00235E8C" w:rsidP="00860130">
      <w:pPr>
        <w:numPr>
          <w:ilvl w:val="1"/>
          <w:numId w:val="14"/>
        </w:numPr>
        <w:tabs>
          <w:tab w:val="num" w:pos="540"/>
        </w:tabs>
        <w:spacing w:line="240" w:lineRule="auto"/>
        <w:jc w:val="both"/>
        <w:outlineLvl w:val="1"/>
        <w:rPr>
          <w:sz w:val="20"/>
          <w:lang w:val="cs-CZ"/>
        </w:rPr>
      </w:pPr>
      <w:r w:rsidRPr="00235E8C">
        <w:rPr>
          <w:sz w:val="20"/>
          <w:lang w:val="cs-CZ"/>
        </w:rPr>
        <w:t xml:space="preserve">Každá zásilka musí obsahovat balicí list nebo dodací listy s uvedením obsahu a plné objednací (referenční) číslo uvedené na </w:t>
      </w:r>
      <w:r>
        <w:rPr>
          <w:sz w:val="20"/>
          <w:lang w:val="cs-CZ"/>
        </w:rPr>
        <w:t>o</w:t>
      </w:r>
      <w:r w:rsidRPr="00235E8C">
        <w:rPr>
          <w:sz w:val="20"/>
          <w:lang w:val="cs-CZ"/>
        </w:rPr>
        <w:t>bjednávce. Stejné informace musí být uvedeny v oznámení o odeslání zásilky vystaveném ihned po odeslání zásilky</w:t>
      </w:r>
      <w:r w:rsidR="00860130" w:rsidRPr="00235E8C">
        <w:rPr>
          <w:sz w:val="20"/>
          <w:lang w:val="cs-CZ"/>
        </w:rPr>
        <w:t>.</w:t>
      </w:r>
    </w:p>
    <w:p w:rsidR="00860130" w:rsidRPr="00235E8C" w:rsidRDefault="00860130" w:rsidP="00860130">
      <w:pPr>
        <w:jc w:val="both"/>
        <w:rPr>
          <w:sz w:val="20"/>
          <w:lang w:val="cs-CZ"/>
        </w:rPr>
      </w:pPr>
    </w:p>
    <w:p w:rsidR="001E05E3" w:rsidRPr="00235E8C" w:rsidRDefault="001E05E3" w:rsidP="00860130">
      <w:pPr>
        <w:jc w:val="both"/>
        <w:rPr>
          <w:sz w:val="20"/>
          <w:lang w:val="cs-CZ"/>
        </w:rPr>
      </w:pPr>
    </w:p>
    <w:p w:rsidR="00860130" w:rsidRPr="00DB0889" w:rsidRDefault="00DB0889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DB0889">
        <w:rPr>
          <w:rFonts w:ascii="Arial" w:hAnsi="Arial"/>
          <w:sz w:val="24"/>
          <w:lang w:val="cs-CZ"/>
        </w:rPr>
        <w:t>Utajení a exkluzivita</w:t>
      </w:r>
    </w:p>
    <w:p w:rsidR="00860130" w:rsidRPr="00DB0889" w:rsidRDefault="00DB0889" w:rsidP="00860130">
      <w:pPr>
        <w:numPr>
          <w:ilvl w:val="1"/>
          <w:numId w:val="12"/>
        </w:numPr>
        <w:spacing w:line="240" w:lineRule="auto"/>
        <w:jc w:val="both"/>
        <w:rPr>
          <w:sz w:val="20"/>
          <w:lang w:val="cs-CZ"/>
        </w:rPr>
      </w:pPr>
      <w:r w:rsidRPr="00DB0889">
        <w:rPr>
          <w:sz w:val="20"/>
          <w:lang w:val="cs-CZ"/>
        </w:rPr>
        <w:t>Smluvní strany se zavazují zacházet se všemi neveřejnými obchodními a technickými podrobnostmi týkajícími se druhé Smluvní strany, které jsou jim vyjeveny v průběhu obchodního vztahu, jako s obchodním tajemstvím.</w:t>
      </w:r>
    </w:p>
    <w:p w:rsidR="00860130" w:rsidRPr="006F6C48" w:rsidRDefault="00860130" w:rsidP="00860130">
      <w:pPr>
        <w:tabs>
          <w:tab w:val="left" w:pos="567"/>
        </w:tabs>
        <w:spacing w:line="240" w:lineRule="auto"/>
        <w:ind w:left="567" w:hanging="567"/>
        <w:jc w:val="both"/>
        <w:rPr>
          <w:sz w:val="20"/>
          <w:lang w:val="en-GB"/>
        </w:rPr>
      </w:pPr>
    </w:p>
    <w:p w:rsidR="00860130" w:rsidRPr="00B2488B" w:rsidRDefault="00B2488B" w:rsidP="00B2488B">
      <w:pPr>
        <w:numPr>
          <w:ilvl w:val="1"/>
          <w:numId w:val="12"/>
        </w:numPr>
        <w:spacing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Pokud musejí být informace, o kterých je řeč v tomto článku, předány subdodavatelům</w:t>
      </w:r>
      <w:r w:rsidR="000C10E3">
        <w:rPr>
          <w:sz w:val="20"/>
          <w:lang w:val="cs-CZ"/>
        </w:rPr>
        <w:t xml:space="preserve"> a/nebo subdodavatelům</w:t>
      </w:r>
      <w:r w:rsidRPr="00B2488B">
        <w:rPr>
          <w:sz w:val="20"/>
          <w:lang w:val="cs-CZ"/>
        </w:rPr>
        <w:t xml:space="preserve"> </w:t>
      </w:r>
      <w:r w:rsidR="000C10E3">
        <w:rPr>
          <w:sz w:val="20"/>
          <w:lang w:val="cs-CZ"/>
        </w:rPr>
        <w:t xml:space="preserve">najatým </w:t>
      </w:r>
      <w:r w:rsidRPr="00B2488B">
        <w:rPr>
          <w:sz w:val="20"/>
          <w:lang w:val="cs-CZ"/>
        </w:rPr>
        <w:t>na základě vzájemné dohody, musí být t</w:t>
      </w:r>
      <w:r w:rsidR="000C10E3">
        <w:rPr>
          <w:sz w:val="20"/>
          <w:lang w:val="cs-CZ"/>
        </w:rPr>
        <w:t>i</w:t>
      </w:r>
      <w:r w:rsidRPr="00B2488B">
        <w:rPr>
          <w:sz w:val="20"/>
          <w:lang w:val="cs-CZ"/>
        </w:rPr>
        <w:t>to subdodavatel</w:t>
      </w:r>
      <w:r w:rsidR="000C10E3">
        <w:rPr>
          <w:sz w:val="20"/>
          <w:lang w:val="cs-CZ"/>
        </w:rPr>
        <w:t>é</w:t>
      </w:r>
      <w:r w:rsidRPr="00B2488B">
        <w:rPr>
          <w:sz w:val="20"/>
          <w:lang w:val="cs-CZ"/>
        </w:rPr>
        <w:t xml:space="preserve"> vázáni </w:t>
      </w:r>
      <w:r w:rsidR="000C10E3">
        <w:rPr>
          <w:sz w:val="20"/>
          <w:lang w:val="cs-CZ"/>
        </w:rPr>
        <w:t xml:space="preserve">rovněž </w:t>
      </w:r>
      <w:r w:rsidRPr="00B2488B">
        <w:rPr>
          <w:sz w:val="20"/>
          <w:lang w:val="cs-CZ"/>
        </w:rPr>
        <w:t>mlčenlivostí</w:t>
      </w:r>
      <w:r w:rsidR="000C10E3">
        <w:rPr>
          <w:sz w:val="20"/>
          <w:lang w:val="cs-CZ"/>
        </w:rPr>
        <w:t>.</w:t>
      </w:r>
    </w:p>
    <w:p w:rsidR="00860130" w:rsidRPr="006F6C48" w:rsidRDefault="00860130" w:rsidP="00860130">
      <w:pPr>
        <w:spacing w:line="240" w:lineRule="auto"/>
        <w:jc w:val="both"/>
        <w:rPr>
          <w:sz w:val="20"/>
          <w:lang w:val="en-GB"/>
        </w:rPr>
      </w:pPr>
    </w:p>
    <w:p w:rsidR="00860130" w:rsidRPr="00976626" w:rsidRDefault="00526AD3" w:rsidP="00976626">
      <w:pPr>
        <w:numPr>
          <w:ilvl w:val="1"/>
          <w:numId w:val="12"/>
        </w:numPr>
        <w:spacing w:line="240" w:lineRule="auto"/>
        <w:jc w:val="both"/>
        <w:rPr>
          <w:sz w:val="20"/>
          <w:lang w:val="cs-CZ"/>
        </w:rPr>
      </w:pPr>
      <w:r w:rsidRPr="00526AD3">
        <w:rPr>
          <w:sz w:val="20"/>
          <w:lang w:val="cs-CZ"/>
        </w:rPr>
        <w:t>S</w:t>
      </w:r>
      <w:r w:rsidR="00947D00">
        <w:rPr>
          <w:sz w:val="20"/>
          <w:lang w:val="cs-CZ"/>
        </w:rPr>
        <w:t>mluvní s</w:t>
      </w:r>
      <w:r w:rsidRPr="00526AD3">
        <w:rPr>
          <w:sz w:val="20"/>
          <w:lang w:val="cs-CZ"/>
        </w:rPr>
        <w:t xml:space="preserve">trany mohou používat své obchodní vztahy </w:t>
      </w:r>
      <w:r w:rsidR="00947D00">
        <w:rPr>
          <w:sz w:val="20"/>
          <w:lang w:val="cs-CZ"/>
        </w:rPr>
        <w:t>pro</w:t>
      </w:r>
      <w:r w:rsidRPr="00526AD3">
        <w:rPr>
          <w:sz w:val="20"/>
          <w:lang w:val="cs-CZ"/>
        </w:rPr>
        <w:t xml:space="preserve"> propagační činnosti pouze po předchozím písemném souhlasu</w:t>
      </w:r>
      <w:r w:rsidR="00947D00">
        <w:rPr>
          <w:sz w:val="20"/>
          <w:lang w:val="cs-CZ"/>
        </w:rPr>
        <w:t>.</w:t>
      </w:r>
    </w:p>
    <w:p w:rsidR="00860130" w:rsidRPr="006F6C48" w:rsidRDefault="00860130" w:rsidP="00860130">
      <w:pPr>
        <w:spacing w:line="240" w:lineRule="auto"/>
        <w:jc w:val="both"/>
        <w:rPr>
          <w:sz w:val="20"/>
          <w:lang w:val="en-GB"/>
        </w:rPr>
      </w:pPr>
    </w:p>
    <w:p w:rsidR="00860130" w:rsidRPr="00976626" w:rsidRDefault="004903F7" w:rsidP="00976626">
      <w:pPr>
        <w:numPr>
          <w:ilvl w:val="1"/>
          <w:numId w:val="12"/>
        </w:numPr>
        <w:spacing w:line="240" w:lineRule="auto"/>
        <w:jc w:val="both"/>
        <w:rPr>
          <w:sz w:val="20"/>
          <w:lang w:val="cs-CZ"/>
        </w:rPr>
      </w:pPr>
      <w:r w:rsidRPr="004903F7">
        <w:rPr>
          <w:sz w:val="20"/>
          <w:lang w:val="cs-CZ"/>
        </w:rPr>
        <w:t>Je</w:t>
      </w:r>
      <w:r>
        <w:rPr>
          <w:sz w:val="20"/>
          <w:lang w:val="cs-CZ"/>
        </w:rPr>
        <w:t>stliže</w:t>
      </w:r>
      <w:r w:rsidRPr="004903F7">
        <w:rPr>
          <w:sz w:val="20"/>
          <w:lang w:val="cs-CZ"/>
        </w:rPr>
        <w:t xml:space="preserve"> předmět plnění zahrnuje know-how </w:t>
      </w:r>
      <w:r>
        <w:rPr>
          <w:sz w:val="20"/>
          <w:lang w:val="cs-CZ"/>
        </w:rPr>
        <w:t xml:space="preserve">od </w:t>
      </w:r>
      <w:r w:rsidRPr="004903F7">
        <w:rPr>
          <w:sz w:val="20"/>
          <w:lang w:val="cs-CZ"/>
        </w:rPr>
        <w:t>EPCOS a je považov</w:t>
      </w:r>
      <w:r>
        <w:rPr>
          <w:sz w:val="20"/>
          <w:lang w:val="cs-CZ"/>
        </w:rPr>
        <w:t>án</w:t>
      </w:r>
      <w:r w:rsidRPr="004903F7">
        <w:rPr>
          <w:sz w:val="20"/>
          <w:lang w:val="cs-CZ"/>
        </w:rPr>
        <w:t xml:space="preserve"> za </w:t>
      </w:r>
      <w:r>
        <w:rPr>
          <w:sz w:val="20"/>
          <w:lang w:val="cs-CZ"/>
        </w:rPr>
        <w:t>speciální</w:t>
      </w:r>
      <w:r w:rsidRPr="004903F7">
        <w:rPr>
          <w:sz w:val="20"/>
          <w:lang w:val="cs-CZ"/>
        </w:rPr>
        <w:t xml:space="preserve"> nebo nový výrobek, musí EPCOS </w:t>
      </w:r>
      <w:r>
        <w:rPr>
          <w:sz w:val="20"/>
          <w:lang w:val="cs-CZ"/>
        </w:rPr>
        <w:t xml:space="preserve">si </w:t>
      </w:r>
      <w:r w:rsidRPr="004903F7">
        <w:rPr>
          <w:sz w:val="20"/>
          <w:lang w:val="cs-CZ"/>
        </w:rPr>
        <w:t>nárok</w:t>
      </w:r>
      <w:r>
        <w:rPr>
          <w:sz w:val="20"/>
          <w:lang w:val="cs-CZ"/>
        </w:rPr>
        <w:t>uje</w:t>
      </w:r>
      <w:r w:rsidRPr="004903F7">
        <w:rPr>
          <w:sz w:val="20"/>
          <w:lang w:val="cs-CZ"/>
        </w:rPr>
        <w:t xml:space="preserve"> exkluzivitu na dobu 2 let. S</w:t>
      </w:r>
      <w:r>
        <w:rPr>
          <w:sz w:val="20"/>
          <w:lang w:val="cs-CZ"/>
        </w:rPr>
        <w:t>mluvní s</w:t>
      </w:r>
      <w:r w:rsidRPr="004903F7">
        <w:rPr>
          <w:sz w:val="20"/>
          <w:lang w:val="cs-CZ"/>
        </w:rPr>
        <w:t xml:space="preserve">trany se dohodnou na tom, zda se </w:t>
      </w:r>
      <w:r>
        <w:rPr>
          <w:sz w:val="20"/>
          <w:lang w:val="cs-CZ"/>
        </w:rPr>
        <w:t xml:space="preserve">exkluzivita </w:t>
      </w:r>
      <w:r w:rsidRPr="004903F7">
        <w:rPr>
          <w:sz w:val="20"/>
          <w:lang w:val="cs-CZ"/>
        </w:rPr>
        <w:t>vztahuje</w:t>
      </w:r>
      <w:r>
        <w:rPr>
          <w:sz w:val="20"/>
          <w:lang w:val="cs-CZ"/>
        </w:rPr>
        <w:t xml:space="preserve"> již na období </w:t>
      </w:r>
      <w:r w:rsidRPr="004903F7">
        <w:rPr>
          <w:sz w:val="20"/>
          <w:lang w:val="cs-CZ"/>
        </w:rPr>
        <w:t xml:space="preserve">před </w:t>
      </w:r>
      <w:r>
        <w:rPr>
          <w:sz w:val="20"/>
          <w:lang w:val="cs-CZ"/>
        </w:rPr>
        <w:t xml:space="preserve">vystavením </w:t>
      </w:r>
      <w:r w:rsidRPr="004903F7">
        <w:rPr>
          <w:sz w:val="20"/>
          <w:lang w:val="cs-CZ"/>
        </w:rPr>
        <w:t>objednávky a zahrnuj</w:t>
      </w:r>
      <w:r>
        <w:rPr>
          <w:sz w:val="20"/>
          <w:lang w:val="cs-CZ"/>
        </w:rPr>
        <w:t>e</w:t>
      </w:r>
      <w:r w:rsidRPr="004903F7">
        <w:rPr>
          <w:sz w:val="20"/>
          <w:lang w:val="cs-CZ"/>
        </w:rPr>
        <w:t xml:space="preserve"> odpovídající odkaz v</w:t>
      </w:r>
      <w:r>
        <w:rPr>
          <w:sz w:val="20"/>
          <w:lang w:val="cs-CZ"/>
        </w:rPr>
        <w:t xml:space="preserve"> dokumentech </w:t>
      </w:r>
      <w:r w:rsidRPr="004903F7">
        <w:rPr>
          <w:sz w:val="20"/>
          <w:lang w:val="cs-CZ"/>
        </w:rPr>
        <w:t>nabíd</w:t>
      </w:r>
      <w:r>
        <w:rPr>
          <w:sz w:val="20"/>
          <w:lang w:val="cs-CZ"/>
        </w:rPr>
        <w:t>ky</w:t>
      </w:r>
      <w:r w:rsidRPr="004903F7">
        <w:rPr>
          <w:sz w:val="20"/>
          <w:lang w:val="cs-CZ"/>
        </w:rPr>
        <w:t xml:space="preserve"> a</w:t>
      </w:r>
      <w:r>
        <w:rPr>
          <w:sz w:val="20"/>
          <w:lang w:val="cs-CZ"/>
        </w:rPr>
        <w:t> objednávky</w:t>
      </w:r>
      <w:r w:rsidRPr="004903F7">
        <w:rPr>
          <w:sz w:val="20"/>
          <w:lang w:val="cs-CZ"/>
        </w:rPr>
        <w:t xml:space="preserve">. V tomto případě není SMLUVNÍ PARTNER oprávněn v tomto období poskytovat </w:t>
      </w:r>
      <w:r>
        <w:rPr>
          <w:sz w:val="20"/>
          <w:lang w:val="cs-CZ"/>
        </w:rPr>
        <w:t>speciální nebo nový výrobek</w:t>
      </w:r>
      <w:r w:rsidRPr="004903F7">
        <w:rPr>
          <w:sz w:val="20"/>
          <w:lang w:val="cs-CZ"/>
        </w:rPr>
        <w:t xml:space="preserve"> třetí</w:t>
      </w:r>
      <w:r>
        <w:rPr>
          <w:sz w:val="20"/>
          <w:lang w:val="cs-CZ"/>
        </w:rPr>
        <w:t>m</w:t>
      </w:r>
      <w:r w:rsidRPr="004903F7">
        <w:rPr>
          <w:sz w:val="20"/>
          <w:lang w:val="cs-CZ"/>
        </w:rPr>
        <w:t xml:space="preserve"> stran</w:t>
      </w:r>
      <w:r>
        <w:rPr>
          <w:sz w:val="20"/>
          <w:lang w:val="cs-CZ"/>
        </w:rPr>
        <w:t>ám</w:t>
      </w:r>
      <w:r w:rsidRPr="004903F7">
        <w:rPr>
          <w:sz w:val="20"/>
          <w:lang w:val="cs-CZ"/>
        </w:rPr>
        <w:t>. Jakákoli výjimka vyžaduje</w:t>
      </w:r>
      <w:r>
        <w:rPr>
          <w:sz w:val="20"/>
          <w:lang w:val="cs-CZ"/>
        </w:rPr>
        <w:t xml:space="preserve"> </w:t>
      </w:r>
      <w:r w:rsidRPr="004903F7">
        <w:rPr>
          <w:sz w:val="20"/>
          <w:lang w:val="cs-CZ"/>
        </w:rPr>
        <w:t>zvláštní sml</w:t>
      </w:r>
      <w:r>
        <w:rPr>
          <w:sz w:val="20"/>
          <w:lang w:val="cs-CZ"/>
        </w:rPr>
        <w:t>uvní ujednání</w:t>
      </w:r>
      <w:r w:rsidR="00860130" w:rsidRPr="00976626">
        <w:rPr>
          <w:sz w:val="20"/>
          <w:lang w:val="cs-CZ"/>
        </w:rPr>
        <w:t>.</w:t>
      </w:r>
    </w:p>
    <w:p w:rsidR="00860130" w:rsidRDefault="00860130" w:rsidP="00860130">
      <w:pPr>
        <w:jc w:val="both"/>
        <w:rPr>
          <w:sz w:val="20"/>
          <w:lang w:val="en-GB"/>
        </w:rPr>
      </w:pPr>
    </w:p>
    <w:p w:rsidR="00860130" w:rsidRPr="006F6C48" w:rsidRDefault="00860130" w:rsidP="00860130">
      <w:pPr>
        <w:jc w:val="both"/>
        <w:rPr>
          <w:sz w:val="20"/>
          <w:lang w:val="en-GB"/>
        </w:rPr>
      </w:pPr>
    </w:p>
    <w:p w:rsidR="00860130" w:rsidRPr="00DE727F" w:rsidRDefault="00DE727F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DE727F">
        <w:rPr>
          <w:rFonts w:ascii="Arial" w:hAnsi="Arial"/>
          <w:sz w:val="24"/>
          <w:lang w:val="cs-CZ"/>
        </w:rPr>
        <w:t>Závěrečná ustanovení</w:t>
      </w:r>
    </w:p>
    <w:p w:rsidR="00860130" w:rsidRPr="00DE727F" w:rsidRDefault="00DE727F" w:rsidP="00DE727F">
      <w:pPr>
        <w:numPr>
          <w:ilvl w:val="1"/>
          <w:numId w:val="18"/>
        </w:numPr>
        <w:spacing w:line="240" w:lineRule="auto"/>
        <w:jc w:val="both"/>
        <w:rPr>
          <w:sz w:val="20"/>
          <w:lang w:val="cs-CZ"/>
        </w:rPr>
      </w:pPr>
      <w:r w:rsidRPr="00DE727F">
        <w:rPr>
          <w:sz w:val="20"/>
          <w:lang w:val="cs-CZ"/>
        </w:rPr>
        <w:t xml:space="preserve">Pokud </w:t>
      </w:r>
      <w:r>
        <w:rPr>
          <w:sz w:val="20"/>
          <w:lang w:val="cs-CZ"/>
        </w:rPr>
        <w:t xml:space="preserve">některé </w:t>
      </w:r>
      <w:r w:rsidRPr="00DE727F">
        <w:rPr>
          <w:sz w:val="20"/>
          <w:lang w:val="cs-CZ"/>
        </w:rPr>
        <w:t xml:space="preserve">z těchto ustanovení nebo jiných dohod uzavřených mezi </w:t>
      </w:r>
      <w:r>
        <w:rPr>
          <w:sz w:val="20"/>
          <w:lang w:val="cs-CZ"/>
        </w:rPr>
        <w:t>S</w:t>
      </w:r>
      <w:r w:rsidRPr="00DE727F">
        <w:rPr>
          <w:sz w:val="20"/>
          <w:lang w:val="cs-CZ"/>
        </w:rPr>
        <w:t xml:space="preserve">mluvními stranami jsou nebo se stanou neplatné, </w:t>
      </w:r>
      <w:r>
        <w:rPr>
          <w:sz w:val="20"/>
          <w:lang w:val="cs-CZ"/>
        </w:rPr>
        <w:t>ne</w:t>
      </w:r>
      <w:r w:rsidRPr="00DE727F">
        <w:rPr>
          <w:sz w:val="20"/>
          <w:lang w:val="cs-CZ"/>
        </w:rPr>
        <w:t>bude</w:t>
      </w:r>
      <w:r>
        <w:rPr>
          <w:sz w:val="20"/>
          <w:lang w:val="cs-CZ"/>
        </w:rPr>
        <w:t xml:space="preserve"> mít tato skutečnost žádný</w:t>
      </w:r>
      <w:r w:rsidRPr="00DE727F">
        <w:rPr>
          <w:sz w:val="20"/>
          <w:lang w:val="cs-CZ"/>
        </w:rPr>
        <w:t xml:space="preserve"> vliv na platnost zbytku </w:t>
      </w:r>
      <w:r w:rsidR="0056268A">
        <w:rPr>
          <w:sz w:val="20"/>
          <w:lang w:val="cs-CZ"/>
        </w:rPr>
        <w:t>Dohody</w:t>
      </w:r>
      <w:r w:rsidRPr="00DE727F">
        <w:rPr>
          <w:sz w:val="20"/>
          <w:lang w:val="cs-CZ"/>
        </w:rPr>
        <w:t>. Smluvní strany jsou povinny nahradit neplatné ustanovení</w:t>
      </w:r>
      <w:r>
        <w:rPr>
          <w:sz w:val="20"/>
          <w:lang w:val="cs-CZ"/>
        </w:rPr>
        <w:t xml:space="preserve"> pomocí jiného ustanovení s</w:t>
      </w:r>
      <w:r w:rsidRPr="00DE727F">
        <w:rPr>
          <w:sz w:val="20"/>
          <w:lang w:val="cs-CZ"/>
        </w:rPr>
        <w:t xml:space="preserve"> rovnocenný</w:t>
      </w:r>
      <w:r>
        <w:rPr>
          <w:sz w:val="20"/>
          <w:lang w:val="cs-CZ"/>
        </w:rPr>
        <w:t>m</w:t>
      </w:r>
      <w:r w:rsidRPr="00DE727F">
        <w:rPr>
          <w:sz w:val="20"/>
          <w:lang w:val="cs-CZ"/>
        </w:rPr>
        <w:t xml:space="preserve"> ekonomický</w:t>
      </w:r>
      <w:r>
        <w:rPr>
          <w:sz w:val="20"/>
          <w:lang w:val="cs-CZ"/>
        </w:rPr>
        <w:t>m</w:t>
      </w:r>
      <w:r w:rsidRPr="00DE727F">
        <w:rPr>
          <w:sz w:val="20"/>
          <w:lang w:val="cs-CZ"/>
        </w:rPr>
        <w:t xml:space="preserve"> efekt</w:t>
      </w:r>
      <w:r>
        <w:rPr>
          <w:sz w:val="20"/>
          <w:lang w:val="cs-CZ"/>
        </w:rPr>
        <w:t>em</w:t>
      </w:r>
      <w:r w:rsidRPr="00DE727F">
        <w:rPr>
          <w:sz w:val="20"/>
          <w:lang w:val="cs-CZ"/>
        </w:rPr>
        <w:t>.</w:t>
      </w:r>
    </w:p>
    <w:p w:rsidR="00860130" w:rsidRPr="00DE727F" w:rsidRDefault="00860130" w:rsidP="00860130">
      <w:pPr>
        <w:ind w:left="357"/>
        <w:jc w:val="both"/>
        <w:rPr>
          <w:sz w:val="20"/>
          <w:lang w:val="cs-CZ"/>
        </w:rPr>
      </w:pPr>
    </w:p>
    <w:p w:rsidR="00860130" w:rsidRPr="00DE727F" w:rsidRDefault="00860130" w:rsidP="00860130">
      <w:pPr>
        <w:ind w:left="357"/>
        <w:jc w:val="both"/>
        <w:rPr>
          <w:sz w:val="20"/>
          <w:lang w:val="cs-CZ"/>
        </w:rPr>
      </w:pPr>
    </w:p>
    <w:p w:rsidR="00860130" w:rsidRPr="00DE727F" w:rsidRDefault="00860130" w:rsidP="00860130">
      <w:pPr>
        <w:ind w:left="357"/>
        <w:jc w:val="both"/>
        <w:rPr>
          <w:sz w:val="20"/>
          <w:lang w:val="cs-CZ"/>
        </w:rPr>
      </w:pPr>
    </w:p>
    <w:p w:rsidR="00860130" w:rsidRPr="00F53AB1" w:rsidRDefault="0056268A" w:rsidP="00860130">
      <w:pPr>
        <w:pStyle w:val="Nadpis1"/>
        <w:numPr>
          <w:ilvl w:val="0"/>
          <w:numId w:val="3"/>
        </w:numPr>
        <w:jc w:val="both"/>
        <w:rPr>
          <w:rFonts w:ascii="Arial" w:hAnsi="Arial"/>
          <w:sz w:val="24"/>
          <w:lang w:val="cs-CZ"/>
        </w:rPr>
      </w:pPr>
      <w:r w:rsidRPr="00F53AB1">
        <w:rPr>
          <w:rFonts w:ascii="Arial" w:hAnsi="Arial"/>
          <w:sz w:val="24"/>
          <w:lang w:val="cs-CZ"/>
        </w:rPr>
        <w:t>Rozhodné právo a příslušnost soudu</w:t>
      </w:r>
    </w:p>
    <w:p w:rsidR="00860130" w:rsidRPr="00F53AB1" w:rsidRDefault="0056268A" w:rsidP="007C4041">
      <w:pPr>
        <w:numPr>
          <w:ilvl w:val="1"/>
          <w:numId w:val="19"/>
        </w:numPr>
        <w:spacing w:line="240" w:lineRule="auto"/>
        <w:jc w:val="both"/>
        <w:rPr>
          <w:sz w:val="20"/>
          <w:lang w:val="cs-CZ"/>
        </w:rPr>
      </w:pPr>
      <w:r w:rsidRPr="0056268A">
        <w:rPr>
          <w:sz w:val="20"/>
          <w:lang w:val="cs-CZ"/>
        </w:rPr>
        <w:t>Tato smlouva se řídí právem České republiky. Veškeré spory, včetně sporů o existence smluvního vztahu či</w:t>
      </w:r>
      <w:r w:rsidR="007723CA">
        <w:rPr>
          <w:sz w:val="20"/>
          <w:lang w:val="cs-CZ"/>
        </w:rPr>
        <w:t>  </w:t>
      </w:r>
      <w:r w:rsidRPr="0056268A">
        <w:rPr>
          <w:sz w:val="20"/>
          <w:lang w:val="cs-CZ"/>
        </w:rPr>
        <w:t>o</w:t>
      </w:r>
      <w:r w:rsidR="007723CA">
        <w:rPr>
          <w:sz w:val="20"/>
          <w:lang w:val="cs-CZ"/>
        </w:rPr>
        <w:t>  </w:t>
      </w:r>
      <w:r w:rsidRPr="0056268A">
        <w:rPr>
          <w:sz w:val="20"/>
          <w:lang w:val="cs-CZ"/>
        </w:rPr>
        <w:t>nárocích vyplývajících z Dohody, budou řešeny příslušným soudem v Ostravě, v České republice. Bez</w:t>
      </w:r>
      <w:r w:rsidR="007723CA">
        <w:rPr>
          <w:sz w:val="20"/>
          <w:lang w:val="cs-CZ"/>
        </w:rPr>
        <w:t> </w:t>
      </w:r>
      <w:r w:rsidRPr="0056268A">
        <w:rPr>
          <w:sz w:val="20"/>
          <w:lang w:val="cs-CZ"/>
        </w:rPr>
        <w:t xml:space="preserve">ohledu na výše uvedená ustanovení může EPCOS, podle svého uvážení, podat žalobu u soudu v sídle </w:t>
      </w:r>
      <w:r>
        <w:rPr>
          <w:sz w:val="20"/>
          <w:lang w:val="cs-CZ"/>
        </w:rPr>
        <w:t>SMLUVNÍHO PARTNERA</w:t>
      </w:r>
      <w:r w:rsidRPr="0056268A">
        <w:rPr>
          <w:sz w:val="20"/>
          <w:lang w:val="cs-CZ"/>
        </w:rPr>
        <w:t xml:space="preserve"> nebo u jiného příslušného soudu pro danou oblast. Ustanovení Úmluvy OSN o</w:t>
      </w:r>
      <w:r>
        <w:rPr>
          <w:sz w:val="20"/>
          <w:lang w:val="cs-CZ"/>
        </w:rPr>
        <w:t> </w:t>
      </w:r>
      <w:r w:rsidRPr="0056268A">
        <w:rPr>
          <w:sz w:val="20"/>
          <w:lang w:val="cs-CZ"/>
        </w:rPr>
        <w:t>smlouvách o mezinárodní koupi zboží z 11. dubna 1980 se nepoužijí</w:t>
      </w:r>
      <w:r>
        <w:rPr>
          <w:sz w:val="20"/>
          <w:lang w:val="cs-CZ"/>
        </w:rPr>
        <w:t>.</w:t>
      </w:r>
    </w:p>
    <w:p w:rsidR="00860130" w:rsidRPr="006F6C48" w:rsidRDefault="00860130" w:rsidP="00860130">
      <w:pPr>
        <w:ind w:left="360"/>
        <w:jc w:val="both"/>
        <w:rPr>
          <w:sz w:val="20"/>
          <w:lang w:val="en-GB"/>
        </w:rPr>
      </w:pPr>
    </w:p>
    <w:p w:rsidR="00860130" w:rsidRDefault="00860130" w:rsidP="00860130">
      <w:pPr>
        <w:ind w:left="360"/>
        <w:jc w:val="both"/>
        <w:rPr>
          <w:sz w:val="20"/>
          <w:lang w:val="en-GB"/>
        </w:rPr>
      </w:pPr>
    </w:p>
    <w:p w:rsidR="005F6DA0" w:rsidRDefault="005F6DA0" w:rsidP="00860130">
      <w:pPr>
        <w:ind w:left="360"/>
        <w:jc w:val="both"/>
        <w:rPr>
          <w:sz w:val="20"/>
          <w:lang w:val="en-GB"/>
        </w:rPr>
      </w:pPr>
    </w:p>
    <w:p w:rsidR="005F6DA0" w:rsidRDefault="005F6DA0" w:rsidP="00860130">
      <w:pPr>
        <w:ind w:left="360"/>
        <w:jc w:val="both"/>
        <w:rPr>
          <w:sz w:val="20"/>
          <w:lang w:val="en-GB"/>
        </w:rPr>
      </w:pPr>
    </w:p>
    <w:p w:rsidR="005F6DA0" w:rsidRPr="00DC37C2" w:rsidRDefault="005F6DA0" w:rsidP="005F6DA0">
      <w:pPr>
        <w:tabs>
          <w:tab w:val="left" w:pos="0"/>
          <w:tab w:val="left" w:pos="1440"/>
          <w:tab w:val="left" w:pos="1872"/>
          <w:tab w:val="left" w:pos="2304"/>
        </w:tabs>
        <w:rPr>
          <w:i/>
        </w:rPr>
      </w:pPr>
    </w:p>
    <w:p w:rsidR="005F6DA0" w:rsidRPr="006F6C48" w:rsidRDefault="005F6DA0" w:rsidP="005F6DA0">
      <w:pPr>
        <w:ind w:left="360"/>
        <w:jc w:val="both"/>
        <w:rPr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5F6DA0" w:rsidRPr="00D748EB" w:rsidTr="00D748EB">
        <w:trPr>
          <w:trHeight w:val="397"/>
          <w:jc w:val="center"/>
        </w:trPr>
        <w:tc>
          <w:tcPr>
            <w:tcW w:w="31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b/>
                <w:color w:val="FF0000"/>
                <w:szCs w:val="22"/>
                <w:lang w:val="cs-CZ"/>
              </w:rPr>
              <w:t>Smluvní partner (přepsat)</w:t>
            </w:r>
          </w:p>
        </w:tc>
        <w:tc>
          <w:tcPr>
            <w:tcW w:w="31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6DA0" w:rsidRPr="00D748EB" w:rsidRDefault="005F6DA0" w:rsidP="005F6DA0">
            <w:pPr>
              <w:rPr>
                <w:rFonts w:cs="Arial"/>
                <w:b/>
                <w:szCs w:val="22"/>
                <w:lang w:val="cs-CZ"/>
              </w:rPr>
            </w:pPr>
            <w:r w:rsidRPr="00D748EB">
              <w:rPr>
                <w:rFonts w:cs="Arial"/>
                <w:b/>
                <w:szCs w:val="22"/>
                <w:lang w:val="cs-CZ"/>
              </w:rPr>
              <w:t>EPCOS s.r.o.</w:t>
            </w:r>
          </w:p>
        </w:tc>
      </w:tr>
      <w:tr w:rsidR="005F6DA0" w:rsidRPr="00D748EB" w:rsidTr="00D748EB">
        <w:trPr>
          <w:trHeight w:val="1466"/>
          <w:jc w:val="center"/>
        </w:trPr>
        <w:tc>
          <w:tcPr>
            <w:tcW w:w="4605" w:type="dxa"/>
            <w:shd w:val="clear" w:color="auto" w:fill="auto"/>
            <w:tcMar>
              <w:top w:w="57" w:type="dxa"/>
              <w:bottom w:w="57" w:type="dxa"/>
            </w:tcMar>
          </w:tcPr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 xml:space="preserve">Jméno: </w:t>
            </w:r>
            <w:r w:rsidRPr="00D748EB">
              <w:rPr>
                <w:color w:val="FF0000"/>
                <w:szCs w:val="22"/>
                <w:lang w:val="cs-CZ"/>
              </w:rPr>
              <w:t xml:space="preserve">Zástupce </w:t>
            </w:r>
            <w:proofErr w:type="gramStart"/>
            <w:r w:rsidRPr="00D748EB">
              <w:rPr>
                <w:color w:val="FF0000"/>
                <w:szCs w:val="22"/>
                <w:lang w:val="cs-CZ"/>
              </w:rPr>
              <w:t>č.1</w:t>
            </w:r>
            <w:proofErr w:type="gramEnd"/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 xml:space="preserve">Místo / datum: </w:t>
            </w:r>
            <w:r w:rsidRPr="00D748EB">
              <w:rPr>
                <w:color w:val="FF0000"/>
                <w:szCs w:val="22"/>
                <w:lang w:val="cs-CZ"/>
              </w:rPr>
              <w:t>Město</w:t>
            </w:r>
            <w:r w:rsidRPr="00D748EB">
              <w:rPr>
                <w:rFonts w:cs="Arial"/>
                <w:szCs w:val="22"/>
                <w:lang w:val="cs-CZ"/>
              </w:rPr>
              <w:t xml:space="preserve">, </w:t>
            </w:r>
            <w:proofErr w:type="gramStart"/>
            <w:r w:rsidRPr="00D748EB">
              <w:rPr>
                <w:rFonts w:cs="Arial"/>
                <w:color w:val="FF0000"/>
                <w:szCs w:val="22"/>
                <w:lang w:val="cs-CZ"/>
              </w:rPr>
              <w:t>XX</w:t>
            </w:r>
            <w:proofErr w:type="gramEnd"/>
            <w:r w:rsidRPr="00D748EB">
              <w:rPr>
                <w:rFonts w:cs="Arial"/>
                <w:color w:val="FF0000"/>
                <w:szCs w:val="22"/>
                <w:lang w:val="cs-CZ"/>
              </w:rPr>
              <w:t>.</w:t>
            </w:r>
            <w:proofErr w:type="gramStart"/>
            <w:r w:rsidRPr="00D748EB">
              <w:rPr>
                <w:rFonts w:cs="Arial"/>
                <w:color w:val="FF0000"/>
                <w:szCs w:val="22"/>
                <w:lang w:val="cs-CZ"/>
              </w:rPr>
              <w:t>XX</w:t>
            </w:r>
            <w:proofErr w:type="gramEnd"/>
            <w:r w:rsidRPr="00D748EB">
              <w:rPr>
                <w:rFonts w:cs="Arial"/>
                <w:color w:val="FF0000"/>
                <w:szCs w:val="22"/>
                <w:lang w:val="cs-CZ"/>
              </w:rPr>
              <w:t>.201</w:t>
            </w:r>
            <w:r w:rsidR="00453EF3">
              <w:rPr>
                <w:rFonts w:cs="Arial"/>
                <w:color w:val="FF0000"/>
                <w:szCs w:val="22"/>
                <w:lang w:val="cs-CZ"/>
              </w:rPr>
              <w:t>6</w:t>
            </w: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>Podpis:</w:t>
            </w:r>
          </w:p>
        </w:tc>
        <w:tc>
          <w:tcPr>
            <w:tcW w:w="4605" w:type="dxa"/>
            <w:shd w:val="clear" w:color="auto" w:fill="auto"/>
            <w:tcMar>
              <w:top w:w="57" w:type="dxa"/>
              <w:bottom w:w="57" w:type="dxa"/>
            </w:tcMar>
          </w:tcPr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>Jméno: Ing. Jiří Fibigr</w:t>
            </w: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 xml:space="preserve">Místo / datum: Šumperk, </w:t>
            </w: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>Podpis:</w:t>
            </w:r>
          </w:p>
        </w:tc>
      </w:tr>
      <w:tr w:rsidR="005F6DA0" w:rsidRPr="00D748EB" w:rsidTr="00D748EB">
        <w:trPr>
          <w:trHeight w:val="1432"/>
          <w:jc w:val="center"/>
        </w:trPr>
        <w:tc>
          <w:tcPr>
            <w:tcW w:w="4605" w:type="dxa"/>
            <w:shd w:val="clear" w:color="auto" w:fill="auto"/>
            <w:tcMar>
              <w:top w:w="57" w:type="dxa"/>
              <w:bottom w:w="57" w:type="dxa"/>
            </w:tcMar>
          </w:tcPr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 xml:space="preserve">Jméno: </w:t>
            </w:r>
            <w:r w:rsidRPr="00D748EB">
              <w:rPr>
                <w:color w:val="FF0000"/>
                <w:szCs w:val="22"/>
                <w:lang w:val="cs-CZ"/>
              </w:rPr>
              <w:t xml:space="preserve">Zástupce </w:t>
            </w:r>
            <w:proofErr w:type="gramStart"/>
            <w:r w:rsidRPr="00D748EB">
              <w:rPr>
                <w:color w:val="FF0000"/>
                <w:szCs w:val="22"/>
                <w:lang w:val="cs-CZ"/>
              </w:rPr>
              <w:t>č.2</w:t>
            </w:r>
            <w:proofErr w:type="gramEnd"/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 xml:space="preserve">Místo / datum: </w:t>
            </w:r>
            <w:r w:rsidRPr="00D748EB">
              <w:rPr>
                <w:color w:val="FF0000"/>
                <w:szCs w:val="22"/>
                <w:lang w:val="cs-CZ"/>
              </w:rPr>
              <w:t>Město</w:t>
            </w:r>
            <w:r w:rsidRPr="00D748EB">
              <w:rPr>
                <w:rFonts w:cs="Arial"/>
                <w:szCs w:val="22"/>
                <w:lang w:val="cs-CZ"/>
              </w:rPr>
              <w:t xml:space="preserve">, </w:t>
            </w:r>
            <w:proofErr w:type="gramStart"/>
            <w:r w:rsidRPr="00D748EB">
              <w:rPr>
                <w:rFonts w:cs="Arial"/>
                <w:color w:val="FF0000"/>
                <w:szCs w:val="22"/>
                <w:lang w:val="cs-CZ"/>
              </w:rPr>
              <w:t>XX</w:t>
            </w:r>
            <w:proofErr w:type="gramEnd"/>
            <w:r w:rsidRPr="00D748EB">
              <w:rPr>
                <w:rFonts w:cs="Arial"/>
                <w:color w:val="FF0000"/>
                <w:szCs w:val="22"/>
                <w:lang w:val="cs-CZ"/>
              </w:rPr>
              <w:t>.</w:t>
            </w:r>
            <w:proofErr w:type="gramStart"/>
            <w:r w:rsidRPr="00D748EB">
              <w:rPr>
                <w:rFonts w:cs="Arial"/>
                <w:color w:val="FF0000"/>
                <w:szCs w:val="22"/>
                <w:lang w:val="cs-CZ"/>
              </w:rPr>
              <w:t>XX</w:t>
            </w:r>
            <w:proofErr w:type="gramEnd"/>
            <w:r w:rsidRPr="00D748EB">
              <w:rPr>
                <w:rFonts w:cs="Arial"/>
                <w:color w:val="FF0000"/>
                <w:szCs w:val="22"/>
                <w:lang w:val="cs-CZ"/>
              </w:rPr>
              <w:t>.201</w:t>
            </w:r>
            <w:r w:rsidR="00453EF3">
              <w:rPr>
                <w:rFonts w:cs="Arial"/>
                <w:color w:val="FF0000"/>
                <w:szCs w:val="22"/>
                <w:lang w:val="cs-CZ"/>
              </w:rPr>
              <w:t>6</w:t>
            </w: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>Podpis:</w:t>
            </w:r>
          </w:p>
        </w:tc>
        <w:tc>
          <w:tcPr>
            <w:tcW w:w="4605" w:type="dxa"/>
            <w:shd w:val="clear" w:color="auto" w:fill="auto"/>
            <w:tcMar>
              <w:top w:w="57" w:type="dxa"/>
              <w:bottom w:w="57" w:type="dxa"/>
            </w:tcMar>
          </w:tcPr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>Jméno: Ing</w:t>
            </w:r>
            <w:r w:rsidRPr="00D748EB">
              <w:rPr>
                <w:szCs w:val="22"/>
                <w:lang w:val="cs-CZ"/>
              </w:rPr>
              <w:t xml:space="preserve">. </w:t>
            </w:r>
            <w:r w:rsidR="00453EF3">
              <w:rPr>
                <w:szCs w:val="22"/>
                <w:lang w:val="cs-CZ"/>
              </w:rPr>
              <w:t>Vladimír Kadlec</w:t>
            </w: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>Místo / datum: Šumperk,</w:t>
            </w: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>Podpis:</w:t>
            </w:r>
          </w:p>
        </w:tc>
      </w:tr>
      <w:tr w:rsidR="005F6DA0" w:rsidRPr="00D748EB" w:rsidTr="00D748EB">
        <w:trPr>
          <w:trHeight w:val="1526"/>
          <w:jc w:val="center"/>
        </w:trPr>
        <w:tc>
          <w:tcPr>
            <w:tcW w:w="4605" w:type="dxa"/>
            <w:shd w:val="clear" w:color="auto" w:fill="auto"/>
            <w:tcMar>
              <w:top w:w="57" w:type="dxa"/>
              <w:bottom w:w="57" w:type="dxa"/>
            </w:tcMar>
          </w:tcPr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>Razítko:</w:t>
            </w:r>
          </w:p>
        </w:tc>
        <w:tc>
          <w:tcPr>
            <w:tcW w:w="4605" w:type="dxa"/>
            <w:shd w:val="clear" w:color="auto" w:fill="auto"/>
            <w:tcMar>
              <w:top w:w="57" w:type="dxa"/>
              <w:bottom w:w="57" w:type="dxa"/>
            </w:tcMar>
          </w:tcPr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</w:p>
          <w:p w:rsidR="005F6DA0" w:rsidRPr="00D748EB" w:rsidRDefault="005F6DA0" w:rsidP="005F6DA0">
            <w:pPr>
              <w:rPr>
                <w:rFonts w:cs="Arial"/>
                <w:szCs w:val="22"/>
                <w:lang w:val="cs-CZ"/>
              </w:rPr>
            </w:pPr>
            <w:r w:rsidRPr="00D748EB">
              <w:rPr>
                <w:rFonts w:cs="Arial"/>
                <w:szCs w:val="22"/>
                <w:lang w:val="cs-CZ"/>
              </w:rPr>
              <w:t>Razítko:</w:t>
            </w:r>
          </w:p>
        </w:tc>
      </w:tr>
    </w:tbl>
    <w:p w:rsidR="005F6DA0" w:rsidRPr="00DC37C2" w:rsidRDefault="005F6DA0" w:rsidP="005F6DA0">
      <w:pPr>
        <w:tabs>
          <w:tab w:val="left" w:pos="0"/>
          <w:tab w:val="left" w:pos="1440"/>
          <w:tab w:val="left" w:pos="1872"/>
          <w:tab w:val="left" w:pos="2304"/>
        </w:tabs>
        <w:rPr>
          <w:i/>
        </w:rPr>
      </w:pPr>
    </w:p>
    <w:sectPr w:rsidR="005F6DA0" w:rsidRPr="00DC37C2" w:rsidSect="001A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567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EB" w:rsidRDefault="00D748EB">
      <w:r>
        <w:separator/>
      </w:r>
    </w:p>
  </w:endnote>
  <w:endnote w:type="continuationSeparator" w:id="0">
    <w:p w:rsidR="00D748EB" w:rsidRDefault="00D7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9" w:rsidRDefault="00475D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07" w:rsidRDefault="00023B07" w:rsidP="00932D03">
    <w:pPr>
      <w:pStyle w:val="Zpat"/>
      <w:jc w:val="right"/>
    </w:pPr>
    <w:r w:rsidRPr="008B7753">
      <w:rPr>
        <w:rStyle w:val="slostrnky"/>
        <w:b/>
      </w:rPr>
      <w:fldChar w:fldCharType="begin"/>
    </w:r>
    <w:r w:rsidRPr="008B7753">
      <w:rPr>
        <w:rStyle w:val="slostrnky"/>
        <w:b/>
      </w:rPr>
      <w:instrText xml:space="preserve"> </w:instrText>
    </w:r>
    <w:r>
      <w:rPr>
        <w:rStyle w:val="slostrnky"/>
        <w:b/>
      </w:rPr>
      <w:instrText>PAGE</w:instrText>
    </w:r>
    <w:r w:rsidRPr="008B7753">
      <w:rPr>
        <w:rStyle w:val="slostrnky"/>
        <w:b/>
      </w:rPr>
      <w:instrText xml:space="preserve"> </w:instrText>
    </w:r>
    <w:r w:rsidRPr="008B7753">
      <w:rPr>
        <w:rStyle w:val="slostrnky"/>
        <w:b/>
      </w:rPr>
      <w:fldChar w:fldCharType="separate"/>
    </w:r>
    <w:r w:rsidR="00DE1709">
      <w:rPr>
        <w:rStyle w:val="slostrnky"/>
        <w:b/>
        <w:noProof/>
      </w:rPr>
      <w:t>2</w:t>
    </w:r>
    <w:r w:rsidRPr="008B7753">
      <w:rPr>
        <w:rStyle w:val="slostrnky"/>
        <w:b/>
      </w:rPr>
      <w:fldChar w:fldCharType="end"/>
    </w:r>
    <w:r>
      <w:rPr>
        <w:rStyle w:val="slostrnky"/>
      </w:rPr>
      <w:t xml:space="preserve"> / </w:t>
    </w:r>
    <w:r w:rsidRPr="008B7753">
      <w:rPr>
        <w:rStyle w:val="slostrnky"/>
      </w:rPr>
      <w:fldChar w:fldCharType="begin"/>
    </w:r>
    <w:r w:rsidRPr="008B7753">
      <w:rPr>
        <w:rStyle w:val="slostrnky"/>
      </w:rPr>
      <w:instrText xml:space="preserve"> </w:instrText>
    </w:r>
    <w:r>
      <w:rPr>
        <w:rStyle w:val="slostrnky"/>
      </w:rPr>
      <w:instrText>NUMPAGES</w:instrText>
    </w:r>
    <w:r w:rsidRPr="008B7753">
      <w:rPr>
        <w:rStyle w:val="slostrnky"/>
      </w:rPr>
      <w:instrText xml:space="preserve"> </w:instrText>
    </w:r>
    <w:r w:rsidRPr="008B7753">
      <w:rPr>
        <w:rStyle w:val="slostrnky"/>
      </w:rPr>
      <w:fldChar w:fldCharType="separate"/>
    </w:r>
    <w:r w:rsidR="00DE1709">
      <w:rPr>
        <w:rStyle w:val="slostrnky"/>
        <w:noProof/>
      </w:rPr>
      <w:t>5</w:t>
    </w:r>
    <w:r w:rsidRPr="008B775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9" w:rsidRDefault="00475D39" w:rsidP="00475D39">
    <w:pPr>
      <w:pStyle w:val="Zpat"/>
      <w:spacing w:before="600"/>
      <w:ind w:left="0"/>
      <w:rPr>
        <w:spacing w:val="-3"/>
      </w:rPr>
    </w:pPr>
    <w:r>
      <w:rPr>
        <w:b/>
        <w:spacing w:val="-3"/>
      </w:rPr>
      <w:t xml:space="preserve">EPCOS </w:t>
    </w:r>
    <w:proofErr w:type="spellStart"/>
    <w:r>
      <w:rPr>
        <w:b/>
        <w:spacing w:val="-3"/>
      </w:rPr>
      <w:t>s.r.o</w:t>
    </w:r>
    <w:proofErr w:type="spellEnd"/>
    <w:r>
      <w:rPr>
        <w:b/>
        <w:spacing w:val="-3"/>
      </w:rPr>
      <w:t>.</w:t>
    </w:r>
    <w:r>
      <w:rPr>
        <w:spacing w:val="-3"/>
      </w:rPr>
      <w:t xml:space="preserve"> · A TDK Group Company</w:t>
    </w:r>
  </w:p>
  <w:p w:rsidR="00475D39" w:rsidRDefault="00475D39" w:rsidP="00475D39">
    <w:pPr>
      <w:pStyle w:val="Zpat"/>
      <w:ind w:left="0"/>
      <w:rPr>
        <w:spacing w:val="-3"/>
      </w:rPr>
    </w:pPr>
    <w:proofErr w:type="spellStart"/>
    <w:r>
      <w:rPr>
        <w:spacing w:val="-3"/>
      </w:rPr>
      <w:t>Feritová</w:t>
    </w:r>
    <w:proofErr w:type="spellEnd"/>
    <w:r>
      <w:rPr>
        <w:spacing w:val="-3"/>
      </w:rPr>
      <w:t xml:space="preserve"> 1, 787 15 </w:t>
    </w:r>
    <w:proofErr w:type="spellStart"/>
    <w:r>
      <w:rPr>
        <w:spacing w:val="-3"/>
      </w:rPr>
      <w:t>Šumperk</w:t>
    </w:r>
    <w:proofErr w:type="spellEnd"/>
    <w:r>
      <w:rPr>
        <w:spacing w:val="-3"/>
      </w:rPr>
      <w:t xml:space="preserve">, </w:t>
    </w:r>
    <w:proofErr w:type="spellStart"/>
    <w:r>
      <w:rPr>
        <w:spacing w:val="-3"/>
      </w:rPr>
      <w:t>Česká</w:t>
    </w:r>
    <w:proofErr w:type="spellEnd"/>
    <w:r>
      <w:rPr>
        <w:spacing w:val="-3"/>
      </w:rPr>
      <w:t xml:space="preserve"> </w:t>
    </w:r>
    <w:proofErr w:type="spellStart"/>
    <w:r>
      <w:rPr>
        <w:spacing w:val="-3"/>
      </w:rPr>
      <w:t>republika</w:t>
    </w:r>
    <w:proofErr w:type="spellEnd"/>
    <w:r>
      <w:rPr>
        <w:spacing w:val="-3"/>
      </w:rPr>
      <w:t xml:space="preserve"> · www.global.tdk.com · www.epcos.com</w:t>
    </w:r>
  </w:p>
  <w:p w:rsidR="00475D39" w:rsidRDefault="00475D39" w:rsidP="00475D39">
    <w:pPr>
      <w:pStyle w:val="Zpat"/>
      <w:ind w:left="0"/>
      <w:rPr>
        <w:spacing w:val="-3"/>
      </w:rPr>
    </w:pPr>
    <w:proofErr w:type="spellStart"/>
    <w:r>
      <w:rPr>
        <w:spacing w:val="-3"/>
      </w:rPr>
      <w:t>Společnost</w:t>
    </w:r>
    <w:proofErr w:type="spellEnd"/>
    <w:r>
      <w:rPr>
        <w:spacing w:val="-3"/>
      </w:rPr>
      <w:t xml:space="preserve"> je </w:t>
    </w:r>
    <w:proofErr w:type="spellStart"/>
    <w:r>
      <w:rPr>
        <w:spacing w:val="-3"/>
      </w:rPr>
      <w:t>zapsána</w:t>
    </w:r>
    <w:proofErr w:type="spellEnd"/>
    <w:r>
      <w:rPr>
        <w:spacing w:val="-3"/>
      </w:rPr>
      <w:t xml:space="preserve"> v </w:t>
    </w:r>
    <w:proofErr w:type="spellStart"/>
    <w:r>
      <w:rPr>
        <w:spacing w:val="-3"/>
      </w:rPr>
      <w:t>obchodním</w:t>
    </w:r>
    <w:proofErr w:type="spellEnd"/>
    <w:r>
      <w:rPr>
        <w:spacing w:val="-3"/>
      </w:rPr>
      <w:t xml:space="preserve"> </w:t>
    </w:r>
    <w:proofErr w:type="spellStart"/>
    <w:r>
      <w:rPr>
        <w:spacing w:val="-3"/>
      </w:rPr>
      <w:t>rejstříku</w:t>
    </w:r>
    <w:proofErr w:type="spellEnd"/>
    <w:r>
      <w:rPr>
        <w:spacing w:val="-3"/>
      </w:rPr>
      <w:t xml:space="preserve"> </w:t>
    </w:r>
    <w:proofErr w:type="spellStart"/>
    <w:r>
      <w:rPr>
        <w:spacing w:val="-3"/>
      </w:rPr>
      <w:t>vedeném</w:t>
    </w:r>
    <w:proofErr w:type="spellEnd"/>
    <w:r>
      <w:rPr>
        <w:spacing w:val="-3"/>
      </w:rPr>
      <w:t xml:space="preserve"> </w:t>
    </w:r>
    <w:proofErr w:type="spellStart"/>
    <w:r>
      <w:rPr>
        <w:spacing w:val="-3"/>
      </w:rPr>
      <w:t>Krajským</w:t>
    </w:r>
    <w:proofErr w:type="spellEnd"/>
    <w:r>
      <w:rPr>
        <w:spacing w:val="-3"/>
      </w:rPr>
      <w:t xml:space="preserve"> </w:t>
    </w:r>
    <w:proofErr w:type="spellStart"/>
    <w:r>
      <w:rPr>
        <w:spacing w:val="-3"/>
      </w:rPr>
      <w:t>soudem</w:t>
    </w:r>
    <w:proofErr w:type="spellEnd"/>
    <w:r>
      <w:rPr>
        <w:spacing w:val="-3"/>
      </w:rPr>
      <w:t xml:space="preserve"> v </w:t>
    </w:r>
    <w:proofErr w:type="spellStart"/>
    <w:r>
      <w:rPr>
        <w:spacing w:val="-3"/>
      </w:rPr>
      <w:t>Ostravě</w:t>
    </w:r>
    <w:proofErr w:type="spellEnd"/>
    <w:r>
      <w:rPr>
        <w:spacing w:val="-3"/>
      </w:rPr>
      <w:t xml:space="preserve">, </w:t>
    </w:r>
    <w:proofErr w:type="spellStart"/>
    <w:r>
      <w:rPr>
        <w:spacing w:val="-3"/>
      </w:rPr>
      <w:t>oddíl</w:t>
    </w:r>
    <w:proofErr w:type="spellEnd"/>
    <w:r>
      <w:rPr>
        <w:spacing w:val="-3"/>
      </w:rPr>
      <w:t xml:space="preserve"> C, </w:t>
    </w:r>
    <w:proofErr w:type="spellStart"/>
    <w:r>
      <w:rPr>
        <w:spacing w:val="-3"/>
      </w:rPr>
      <w:t>vložka</w:t>
    </w:r>
    <w:proofErr w:type="spellEnd"/>
    <w:r>
      <w:rPr>
        <w:spacing w:val="-3"/>
      </w:rPr>
      <w:t xml:space="preserve"> 21585.</w:t>
    </w:r>
  </w:p>
  <w:p w:rsidR="00023B07" w:rsidRPr="00475D39" w:rsidRDefault="00475D39" w:rsidP="00475D39">
    <w:pPr>
      <w:pStyle w:val="Zpat"/>
      <w:ind w:left="0" w:right="-726"/>
    </w:pPr>
    <w:proofErr w:type="spellStart"/>
    <w:r>
      <w:rPr>
        <w:spacing w:val="-3"/>
      </w:rPr>
      <w:t>Statutární</w:t>
    </w:r>
    <w:proofErr w:type="spellEnd"/>
    <w:r>
      <w:rPr>
        <w:spacing w:val="-3"/>
      </w:rPr>
      <w:t xml:space="preserve"> </w:t>
    </w:r>
    <w:proofErr w:type="spellStart"/>
    <w:r>
      <w:rPr>
        <w:spacing w:val="-3"/>
      </w:rPr>
      <w:t>orgány</w:t>
    </w:r>
    <w:proofErr w:type="spellEnd"/>
    <w:r>
      <w:rPr>
        <w:spacing w:val="-3"/>
      </w:rPr>
      <w:t xml:space="preserve">:  </w:t>
    </w:r>
    <w:proofErr w:type="spellStart"/>
    <w:r>
      <w:rPr>
        <w:spacing w:val="-3"/>
      </w:rPr>
      <w:t>Ing</w:t>
    </w:r>
    <w:proofErr w:type="spellEnd"/>
    <w:r>
      <w:rPr>
        <w:spacing w:val="-3"/>
      </w:rPr>
      <w:t xml:space="preserve">. </w:t>
    </w:r>
    <w:proofErr w:type="spellStart"/>
    <w:r>
      <w:rPr>
        <w:spacing w:val="-3"/>
      </w:rPr>
      <w:t>Jiří</w:t>
    </w:r>
    <w:proofErr w:type="spellEnd"/>
    <w:r>
      <w:rPr>
        <w:spacing w:val="-3"/>
      </w:rPr>
      <w:t xml:space="preserve"> </w:t>
    </w:r>
    <w:proofErr w:type="spellStart"/>
    <w:r>
      <w:rPr>
        <w:spacing w:val="-3"/>
      </w:rPr>
      <w:t>Fibigr</w:t>
    </w:r>
    <w:proofErr w:type="spellEnd"/>
    <w:r>
      <w:rPr>
        <w:spacing w:val="-3"/>
      </w:rPr>
      <w:t xml:space="preserve">, </w:t>
    </w:r>
    <w:proofErr w:type="spellStart"/>
    <w:r>
      <w:rPr>
        <w:spacing w:val="-3"/>
      </w:rPr>
      <w:t>jednatel</w:t>
    </w:r>
    <w:proofErr w:type="spellEnd"/>
    <w:r>
      <w:rPr>
        <w:spacing w:val="-3"/>
      </w:rPr>
      <w:t xml:space="preserve"> · </w:t>
    </w:r>
    <w:proofErr w:type="spellStart"/>
    <w:r>
      <w:rPr>
        <w:spacing w:val="-3"/>
      </w:rPr>
      <w:t>Ing</w:t>
    </w:r>
    <w:proofErr w:type="spellEnd"/>
    <w:r>
      <w:rPr>
        <w:spacing w:val="-3"/>
      </w:rPr>
      <w:t xml:space="preserve">. Jaroslav </w:t>
    </w:r>
    <w:proofErr w:type="spellStart"/>
    <w:r>
      <w:rPr>
        <w:spacing w:val="-3"/>
      </w:rPr>
      <w:t>Milota</w:t>
    </w:r>
    <w:proofErr w:type="spellEnd"/>
    <w:r>
      <w:rPr>
        <w:spacing w:val="-3"/>
      </w:rPr>
      <w:t xml:space="preserve">, </w:t>
    </w:r>
    <w:proofErr w:type="spellStart"/>
    <w:r>
      <w:rPr>
        <w:spacing w:val="-3"/>
      </w:rPr>
      <w:t>jednatel</w:t>
    </w:r>
    <w:proofErr w:type="spellEnd"/>
    <w:r>
      <w:rPr>
        <w:spacing w:val="-3"/>
      </w:rPr>
      <w:t xml:space="preserve"> · </w:t>
    </w:r>
    <w:proofErr w:type="spellStart"/>
    <w:r>
      <w:rPr>
        <w:spacing w:val="-3"/>
      </w:rPr>
      <w:t>Ing</w:t>
    </w:r>
    <w:proofErr w:type="spellEnd"/>
    <w:r>
      <w:rPr>
        <w:spacing w:val="-3"/>
      </w:rPr>
      <w:t xml:space="preserve">. </w:t>
    </w:r>
    <w:proofErr w:type="spellStart"/>
    <w:r>
      <w:rPr>
        <w:spacing w:val="-3"/>
      </w:rPr>
      <w:t>Vladimír</w:t>
    </w:r>
    <w:proofErr w:type="spellEnd"/>
    <w:r>
      <w:rPr>
        <w:spacing w:val="-3"/>
      </w:rPr>
      <w:t xml:space="preserve"> </w:t>
    </w:r>
    <w:proofErr w:type="spellStart"/>
    <w:r>
      <w:rPr>
        <w:spacing w:val="-3"/>
      </w:rPr>
      <w:t>Kadlec</w:t>
    </w:r>
    <w:proofErr w:type="spellEnd"/>
    <w:r>
      <w:rPr>
        <w:spacing w:val="-3"/>
      </w:rPr>
      <w:t xml:space="preserve">, </w:t>
    </w:r>
    <w:proofErr w:type="spellStart"/>
    <w:r>
      <w:rPr>
        <w:spacing w:val="-3"/>
      </w:rPr>
      <w:t>jednatel</w:t>
    </w:r>
    <w:proofErr w:type="spellEnd"/>
    <w:r>
      <w:rPr>
        <w:spacing w:val="-3"/>
      </w:rPr>
      <w:t xml:space="preserve"> · </w:t>
    </w:r>
    <w:proofErr w:type="spellStart"/>
    <w:r>
      <w:rPr>
        <w:spacing w:val="-3"/>
      </w:rPr>
      <w:t>JUDr</w:t>
    </w:r>
    <w:proofErr w:type="spellEnd"/>
    <w:r>
      <w:rPr>
        <w:spacing w:val="-3"/>
      </w:rPr>
      <w:t xml:space="preserve">. </w:t>
    </w:r>
    <w:proofErr w:type="spellStart"/>
    <w:r>
      <w:rPr>
        <w:spacing w:val="-3"/>
      </w:rPr>
      <w:t>Jiří</w:t>
    </w:r>
    <w:proofErr w:type="spellEnd"/>
    <w:r>
      <w:rPr>
        <w:spacing w:val="-3"/>
      </w:rPr>
      <w:t xml:space="preserve"> </w:t>
    </w:r>
    <w:proofErr w:type="spellStart"/>
    <w:r>
      <w:rPr>
        <w:spacing w:val="-3"/>
      </w:rPr>
      <w:t>Panák</w:t>
    </w:r>
    <w:proofErr w:type="spellEnd"/>
    <w:r>
      <w:rPr>
        <w:spacing w:val="-3"/>
      </w:rPr>
      <w:t xml:space="preserve">, </w:t>
    </w:r>
    <w:proofErr w:type="spellStart"/>
    <w:r>
      <w:rPr>
        <w:spacing w:val="-3"/>
      </w:rPr>
      <w:t>p</w:t>
    </w:r>
    <w:r w:rsidRPr="00CE1451">
      <w:rPr>
        <w:spacing w:val="-3"/>
      </w:rPr>
      <w:t>rokurista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EB" w:rsidRDefault="00D748EB">
      <w:r>
        <w:separator/>
      </w:r>
    </w:p>
  </w:footnote>
  <w:footnote w:type="continuationSeparator" w:id="0">
    <w:p w:rsidR="00D748EB" w:rsidRDefault="00D7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9" w:rsidRDefault="00475D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07" w:rsidRDefault="0015348C">
    <w:pPr>
      <w:pStyle w:val="Zhlav"/>
    </w:pPr>
    <w:r>
      <w:rPr>
        <w:noProof/>
        <w:szCs w:val="20"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6012815</wp:posOffset>
          </wp:positionH>
          <wp:positionV relativeFrom="page">
            <wp:posOffset>360045</wp:posOffset>
          </wp:positionV>
          <wp:extent cx="1188085" cy="254000"/>
          <wp:effectExtent l="0" t="0" r="0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07" w:rsidRDefault="0015348C">
    <w:pPr>
      <w:pStyle w:val="Zhlav"/>
      <w:jc w:val="right"/>
    </w:pPr>
    <w:r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6012815</wp:posOffset>
          </wp:positionH>
          <wp:positionV relativeFrom="page">
            <wp:posOffset>360045</wp:posOffset>
          </wp:positionV>
          <wp:extent cx="1188720" cy="2540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hXEQIAACg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19D"/>
    <w:multiLevelType w:val="multilevel"/>
    <w:tmpl w:val="C7A48A12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121AA1"/>
    <w:multiLevelType w:val="multilevel"/>
    <w:tmpl w:val="6DC496F4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7C0BC2"/>
    <w:multiLevelType w:val="hybridMultilevel"/>
    <w:tmpl w:val="5790BE02"/>
    <w:lvl w:ilvl="0" w:tplc="0407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12BE40FA"/>
    <w:multiLevelType w:val="multilevel"/>
    <w:tmpl w:val="96909AEE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A05C8"/>
    <w:multiLevelType w:val="multilevel"/>
    <w:tmpl w:val="D174FCB0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8B25C8B"/>
    <w:multiLevelType w:val="multilevel"/>
    <w:tmpl w:val="F96C53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D5796C"/>
    <w:multiLevelType w:val="multilevel"/>
    <w:tmpl w:val="0E1EF756"/>
    <w:lvl w:ilvl="0">
      <w:start w:val="8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1F23CB"/>
    <w:multiLevelType w:val="multilevel"/>
    <w:tmpl w:val="702A5D2E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5B0124"/>
    <w:multiLevelType w:val="multilevel"/>
    <w:tmpl w:val="FA04F722"/>
    <w:lvl w:ilvl="0">
      <w:start w:val="2"/>
      <w:numFmt w:val="none"/>
      <w:lvlText w:val="12.2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871E61"/>
    <w:multiLevelType w:val="multilevel"/>
    <w:tmpl w:val="172071DA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67E99"/>
    <w:multiLevelType w:val="multilevel"/>
    <w:tmpl w:val="AD14791A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86568D"/>
    <w:multiLevelType w:val="multilevel"/>
    <w:tmpl w:val="02A0F506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574703"/>
    <w:multiLevelType w:val="multilevel"/>
    <w:tmpl w:val="87D6B6EA"/>
    <w:lvl w:ilvl="0">
      <w:start w:val="2"/>
      <w:numFmt w:val="none"/>
      <w:lvlText w:val="12.2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400E84"/>
    <w:multiLevelType w:val="multilevel"/>
    <w:tmpl w:val="8DECFF90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D83740"/>
    <w:multiLevelType w:val="multilevel"/>
    <w:tmpl w:val="6DC496F4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297B7E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BEF72D7"/>
    <w:multiLevelType w:val="multilevel"/>
    <w:tmpl w:val="6DC496F4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F219EC"/>
    <w:multiLevelType w:val="multilevel"/>
    <w:tmpl w:val="B0D6AD44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F93951"/>
    <w:multiLevelType w:val="multilevel"/>
    <w:tmpl w:val="767A83EA"/>
    <w:lvl w:ilvl="0">
      <w:start w:val="8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17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16"/>
  </w:num>
  <w:num w:numId="13">
    <w:abstractNumId w:val="7"/>
  </w:num>
  <w:num w:numId="14">
    <w:abstractNumId w:val="18"/>
  </w:num>
  <w:num w:numId="15">
    <w:abstractNumId w:val="2"/>
  </w:num>
  <w:num w:numId="16">
    <w:abstractNumId w:val="14"/>
  </w:num>
  <w:num w:numId="17">
    <w:abstractNumId w:val="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onsecutiveHyphenLimit w:val="3"/>
  <w:hyphenationZone w:val="567"/>
  <w:noPunctuationKerning/>
  <w:characterSpacingControl w:val="doNotCompress"/>
  <w:hdrShapeDefaults>
    <o:shapedefaults v:ext="edit" spidmax="7169">
      <o:colormru v:ext="edit" colors="#0046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97"/>
    <w:rsid w:val="00023B07"/>
    <w:rsid w:val="000321F0"/>
    <w:rsid w:val="00054B12"/>
    <w:rsid w:val="000C10E3"/>
    <w:rsid w:val="000E0A22"/>
    <w:rsid w:val="00144587"/>
    <w:rsid w:val="00145EFC"/>
    <w:rsid w:val="0015348C"/>
    <w:rsid w:val="001845FD"/>
    <w:rsid w:val="00192EC5"/>
    <w:rsid w:val="001A0343"/>
    <w:rsid w:val="001A74D3"/>
    <w:rsid w:val="001E05E3"/>
    <w:rsid w:val="001F41E8"/>
    <w:rsid w:val="00235E8C"/>
    <w:rsid w:val="00283CE0"/>
    <w:rsid w:val="002B2E30"/>
    <w:rsid w:val="002E68FB"/>
    <w:rsid w:val="00321761"/>
    <w:rsid w:val="00393DC6"/>
    <w:rsid w:val="003A5762"/>
    <w:rsid w:val="003D339C"/>
    <w:rsid w:val="003D3C00"/>
    <w:rsid w:val="003D419B"/>
    <w:rsid w:val="0042283B"/>
    <w:rsid w:val="00453EF3"/>
    <w:rsid w:val="00462876"/>
    <w:rsid w:val="00475D39"/>
    <w:rsid w:val="00482C73"/>
    <w:rsid w:val="004903F7"/>
    <w:rsid w:val="004A1C79"/>
    <w:rsid w:val="004C60C8"/>
    <w:rsid w:val="00501E74"/>
    <w:rsid w:val="00506354"/>
    <w:rsid w:val="005070F9"/>
    <w:rsid w:val="00520EA5"/>
    <w:rsid w:val="00526AD3"/>
    <w:rsid w:val="0056268A"/>
    <w:rsid w:val="0056792A"/>
    <w:rsid w:val="005A31C5"/>
    <w:rsid w:val="005D371E"/>
    <w:rsid w:val="005F6DA0"/>
    <w:rsid w:val="00610C00"/>
    <w:rsid w:val="00631081"/>
    <w:rsid w:val="00674B51"/>
    <w:rsid w:val="00686CE5"/>
    <w:rsid w:val="006B433B"/>
    <w:rsid w:val="00746777"/>
    <w:rsid w:val="00762AA7"/>
    <w:rsid w:val="007723CA"/>
    <w:rsid w:val="007C4041"/>
    <w:rsid w:val="007F5B28"/>
    <w:rsid w:val="00804AC2"/>
    <w:rsid w:val="0084323B"/>
    <w:rsid w:val="00860130"/>
    <w:rsid w:val="00896988"/>
    <w:rsid w:val="008D46B9"/>
    <w:rsid w:val="00932D03"/>
    <w:rsid w:val="00934A43"/>
    <w:rsid w:val="00944F6C"/>
    <w:rsid w:val="00947D00"/>
    <w:rsid w:val="00976626"/>
    <w:rsid w:val="00977D6F"/>
    <w:rsid w:val="009E5F41"/>
    <w:rsid w:val="009F680A"/>
    <w:rsid w:val="00A40D58"/>
    <w:rsid w:val="00B2344D"/>
    <w:rsid w:val="00B2488B"/>
    <w:rsid w:val="00B27671"/>
    <w:rsid w:val="00BA7A02"/>
    <w:rsid w:val="00BE3EAC"/>
    <w:rsid w:val="00C01A92"/>
    <w:rsid w:val="00C5124A"/>
    <w:rsid w:val="00C52E93"/>
    <w:rsid w:val="00C60EBB"/>
    <w:rsid w:val="00C855E3"/>
    <w:rsid w:val="00CF30E4"/>
    <w:rsid w:val="00D30F13"/>
    <w:rsid w:val="00D748EB"/>
    <w:rsid w:val="00D81DE9"/>
    <w:rsid w:val="00DB0889"/>
    <w:rsid w:val="00DB5704"/>
    <w:rsid w:val="00DC5D84"/>
    <w:rsid w:val="00DE1709"/>
    <w:rsid w:val="00DE727F"/>
    <w:rsid w:val="00E05B97"/>
    <w:rsid w:val="00E102C2"/>
    <w:rsid w:val="00E4315D"/>
    <w:rsid w:val="00EE3D33"/>
    <w:rsid w:val="00F26DC3"/>
    <w:rsid w:val="00F53AB1"/>
    <w:rsid w:val="00F65E11"/>
    <w:rsid w:val="00F8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046a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0343"/>
    <w:pPr>
      <w:spacing w:line="280" w:lineRule="atLeast"/>
    </w:pPr>
    <w:rPr>
      <w:rFonts w:ascii="Arial" w:hAnsi="Arial"/>
      <w:color w:val="000000"/>
      <w:sz w:val="22"/>
      <w:szCs w:val="24"/>
      <w:lang w:val="en-US" w:eastAsia="de-DE"/>
    </w:rPr>
  </w:style>
  <w:style w:type="paragraph" w:styleId="Nadpis1">
    <w:name w:val="heading 1"/>
    <w:basedOn w:val="Normln"/>
    <w:next w:val="Normln"/>
    <w:qFormat/>
    <w:rsid w:val="00860130"/>
    <w:pPr>
      <w:keepNext/>
      <w:spacing w:line="360" w:lineRule="auto"/>
      <w:outlineLvl w:val="0"/>
    </w:pPr>
    <w:rPr>
      <w:rFonts w:ascii="Times New Roman" w:hAnsi="Times New Roman"/>
      <w:b/>
      <w:bCs/>
      <w:snapToGrid w:val="0"/>
      <w:color w:val="auto"/>
      <w:sz w:val="20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rsid w:val="00E05B97"/>
    <w:pPr>
      <w:tabs>
        <w:tab w:val="center" w:pos="4536"/>
        <w:tab w:val="right" w:pos="9072"/>
      </w:tabs>
      <w:spacing w:line="200" w:lineRule="exact"/>
      <w:ind w:left="113"/>
    </w:pPr>
    <w:rPr>
      <w:spacing w:val="-2"/>
      <w:sz w:val="16"/>
    </w:rPr>
  </w:style>
  <w:style w:type="table" w:styleId="Mkatabulky">
    <w:name w:val="Table Grid"/>
    <w:basedOn w:val="Normlntabulka"/>
    <w:rsid w:val="00E05B9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9A4366"/>
    <w:rPr>
      <w:rFonts w:ascii="Arial" w:hAnsi="Arial"/>
    </w:rPr>
  </w:style>
  <w:style w:type="paragraph" w:styleId="Zkladntext2">
    <w:name w:val="Body Text 2"/>
    <w:basedOn w:val="Normln"/>
    <w:rsid w:val="00860130"/>
    <w:pPr>
      <w:spacing w:line="240" w:lineRule="auto"/>
    </w:pPr>
    <w:rPr>
      <w:color w:val="auto"/>
      <w:sz w:val="20"/>
      <w:szCs w:val="22"/>
      <w:lang w:val="de-DE"/>
    </w:rPr>
  </w:style>
  <w:style w:type="paragraph" w:customStyle="1" w:styleId="Absender">
    <w:name w:val="Absender"/>
    <w:basedOn w:val="Normln"/>
    <w:rsid w:val="00E05B97"/>
    <w:pPr>
      <w:spacing w:line="120" w:lineRule="exact"/>
      <w:jc w:val="center"/>
    </w:pPr>
    <w:rPr>
      <w:sz w:val="12"/>
    </w:rPr>
  </w:style>
  <w:style w:type="character" w:customStyle="1" w:styleId="ZpatChar">
    <w:name w:val="Zápatí Char"/>
    <w:link w:val="Zpat"/>
    <w:rsid w:val="00475D39"/>
    <w:rPr>
      <w:rFonts w:ascii="Arial" w:hAnsi="Arial"/>
      <w:color w:val="000000"/>
      <w:spacing w:val="-2"/>
      <w:sz w:val="16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0343"/>
    <w:pPr>
      <w:spacing w:line="280" w:lineRule="atLeast"/>
    </w:pPr>
    <w:rPr>
      <w:rFonts w:ascii="Arial" w:hAnsi="Arial"/>
      <w:color w:val="000000"/>
      <w:sz w:val="22"/>
      <w:szCs w:val="24"/>
      <w:lang w:val="en-US" w:eastAsia="de-DE"/>
    </w:rPr>
  </w:style>
  <w:style w:type="paragraph" w:styleId="Nadpis1">
    <w:name w:val="heading 1"/>
    <w:basedOn w:val="Normln"/>
    <w:next w:val="Normln"/>
    <w:qFormat/>
    <w:rsid w:val="00860130"/>
    <w:pPr>
      <w:keepNext/>
      <w:spacing w:line="360" w:lineRule="auto"/>
      <w:outlineLvl w:val="0"/>
    </w:pPr>
    <w:rPr>
      <w:rFonts w:ascii="Times New Roman" w:hAnsi="Times New Roman"/>
      <w:b/>
      <w:bCs/>
      <w:snapToGrid w:val="0"/>
      <w:color w:val="auto"/>
      <w:sz w:val="20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rsid w:val="00E05B97"/>
    <w:pPr>
      <w:tabs>
        <w:tab w:val="center" w:pos="4536"/>
        <w:tab w:val="right" w:pos="9072"/>
      </w:tabs>
      <w:spacing w:line="200" w:lineRule="exact"/>
      <w:ind w:left="113"/>
    </w:pPr>
    <w:rPr>
      <w:spacing w:val="-2"/>
      <w:sz w:val="16"/>
    </w:rPr>
  </w:style>
  <w:style w:type="table" w:styleId="Mkatabulky">
    <w:name w:val="Table Grid"/>
    <w:basedOn w:val="Normlntabulka"/>
    <w:rsid w:val="00E05B9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9A4366"/>
    <w:rPr>
      <w:rFonts w:ascii="Arial" w:hAnsi="Arial"/>
    </w:rPr>
  </w:style>
  <w:style w:type="paragraph" w:styleId="Zkladntext2">
    <w:name w:val="Body Text 2"/>
    <w:basedOn w:val="Normln"/>
    <w:rsid w:val="00860130"/>
    <w:pPr>
      <w:spacing w:line="240" w:lineRule="auto"/>
    </w:pPr>
    <w:rPr>
      <w:color w:val="auto"/>
      <w:sz w:val="20"/>
      <w:szCs w:val="22"/>
      <w:lang w:val="de-DE"/>
    </w:rPr>
  </w:style>
  <w:style w:type="paragraph" w:customStyle="1" w:styleId="Absender">
    <w:name w:val="Absender"/>
    <w:basedOn w:val="Normln"/>
    <w:rsid w:val="00E05B97"/>
    <w:pPr>
      <w:spacing w:line="120" w:lineRule="exact"/>
      <w:jc w:val="center"/>
    </w:pPr>
    <w:rPr>
      <w:sz w:val="12"/>
    </w:rPr>
  </w:style>
  <w:style w:type="character" w:customStyle="1" w:styleId="ZpatChar">
    <w:name w:val="Zápatí Char"/>
    <w:link w:val="Zpat"/>
    <w:rsid w:val="00475D39"/>
    <w:rPr>
      <w:rFonts w:ascii="Arial" w:hAnsi="Arial"/>
      <w:color w:val="000000"/>
      <w:spacing w:val="-2"/>
      <w:sz w:val="16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1560</Words>
  <Characters>8760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Brief/Letter</vt:lpstr>
      <vt:lpstr>Brief/Letter</vt:lpstr>
    </vt:vector>
  </TitlesOfParts>
  <Company>TDK-EPC</Company>
  <LinksUpToDate>false</LinksUpToDate>
  <CharactersWithSpaces>10300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Brief/Letter</dc:title>
  <dc:creator>Vorname Name</dc:creator>
  <cp:lastModifiedBy>Vecerek, Pavel: Mr.</cp:lastModifiedBy>
  <cp:revision>9</cp:revision>
  <cp:lastPrinted>2011-02-17T13:04:00Z</cp:lastPrinted>
  <dcterms:created xsi:type="dcterms:W3CDTF">2016-01-05T10:17:00Z</dcterms:created>
  <dcterms:modified xsi:type="dcterms:W3CDTF">2016-01-11T10:55:00Z</dcterms:modified>
</cp:coreProperties>
</file>