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11D" w14:textId="77777777"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KUPNÍ SMLOUVA</w:t>
      </w:r>
    </w:p>
    <w:p w14:paraId="6123C0E9" w14:textId="77777777" w:rsidR="008C17DA" w:rsidRDefault="000B2016" w:rsidP="008C17DA">
      <w:pPr>
        <w:jc w:val="center"/>
      </w:pPr>
      <w:r>
        <w:t>u</w:t>
      </w:r>
      <w:r w:rsidR="008C17DA">
        <w:t xml:space="preserve">zavřená dle § 2079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14:paraId="33ACA082" w14:textId="77777777"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14:paraId="00966A5B" w14:textId="77777777"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14:paraId="257AD158" w14:textId="17A9E5DF" w:rsidR="0021744A" w:rsidRPr="002A2840" w:rsidRDefault="00250344" w:rsidP="002A0B41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2A0B41" w:rsidRPr="002A0B41">
        <w:rPr>
          <w:b/>
        </w:rPr>
        <w:t>Enjoy</w:t>
      </w:r>
      <w:proofErr w:type="spellEnd"/>
      <w:r w:rsidR="002A0B41" w:rsidRPr="002A0B41">
        <w:rPr>
          <w:b/>
        </w:rPr>
        <w:t xml:space="preserve"> </w:t>
      </w:r>
      <w:proofErr w:type="spellStart"/>
      <w:r w:rsidR="002A0B41" w:rsidRPr="002A0B41">
        <w:rPr>
          <w:b/>
        </w:rPr>
        <w:t>Trade</w:t>
      </w:r>
      <w:proofErr w:type="spellEnd"/>
      <w:r w:rsidR="002A0B41" w:rsidRPr="002A0B41">
        <w:rPr>
          <w:b/>
        </w:rPr>
        <w:t>, s.r.o.</w:t>
      </w:r>
    </w:p>
    <w:p w14:paraId="73BDDDDB" w14:textId="123FEBE0"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proofErr w:type="spellStart"/>
      <w:r w:rsidR="002A0B41" w:rsidRPr="002A0B41">
        <w:t>Moskalykova</w:t>
      </w:r>
      <w:proofErr w:type="spellEnd"/>
      <w:r w:rsidR="002A0B41" w:rsidRPr="002A0B41">
        <w:t xml:space="preserve"> 97/2, Sadová, 612 00 Brno</w:t>
      </w:r>
    </w:p>
    <w:p w14:paraId="55F50B70" w14:textId="33105060"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34C4A712" w14:textId="496B1C2C"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2A0B41" w:rsidRPr="002A0B41">
        <w:t>26950707</w:t>
      </w:r>
    </w:p>
    <w:p w14:paraId="774A4024" w14:textId="3E10E3C2"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2A0B41" w:rsidRPr="002A0B41">
        <w:t>CZ26950707</w:t>
      </w:r>
    </w:p>
    <w:p w14:paraId="768BA6C7" w14:textId="159EEF12"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</w:r>
      <w:r w:rsidR="002A0B41" w:rsidRPr="002A0B41">
        <w:t>C 47831 vedená u Krajského soudu v Brně</w:t>
      </w:r>
    </w:p>
    <w:p w14:paraId="668A0A51" w14:textId="5A64FBDB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58BAA02A" w14:textId="5E938879"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2A0B41" w:rsidRPr="002A0B41">
        <w:t>michal.rampl@enjoy-trade.cz</w:t>
      </w:r>
      <w:r w:rsidR="002A0B41">
        <w:t xml:space="preserve">, </w:t>
      </w:r>
      <w:r w:rsidR="002A0B41" w:rsidRPr="002A0B41">
        <w:t>+420 776 097 666</w:t>
      </w:r>
    </w:p>
    <w:p w14:paraId="0A9F43D4" w14:textId="77777777" w:rsidR="008C17DA" w:rsidRDefault="0021744A" w:rsidP="0021744A">
      <w:pPr>
        <w:spacing w:after="0"/>
      </w:pPr>
      <w:r>
        <w:t>(dále jen „</w:t>
      </w:r>
      <w:r w:rsidR="00B20C49" w:rsidRPr="00157093">
        <w:rPr>
          <w:b/>
        </w:rPr>
        <w:t>kupující</w:t>
      </w:r>
      <w:r>
        <w:t>“)</w:t>
      </w:r>
    </w:p>
    <w:p w14:paraId="1AF9C3F4" w14:textId="77777777" w:rsidR="0043113E" w:rsidRDefault="0043113E" w:rsidP="0021744A">
      <w:pPr>
        <w:spacing w:after="0"/>
      </w:pPr>
    </w:p>
    <w:p w14:paraId="7ADF3A5C" w14:textId="335CB840" w:rsidR="00D34D5C" w:rsidRPr="002A2840" w:rsidRDefault="008512BF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Prodávající: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 xml:space="preserve">[vyplní </w:t>
      </w:r>
      <w:r w:rsidR="002A0B41">
        <w:rPr>
          <w:b/>
          <w:highlight w:val="yellow"/>
        </w:rPr>
        <w:t>účastník</w:t>
      </w:r>
      <w:r w:rsidR="00D34D5C" w:rsidRPr="00157093">
        <w:rPr>
          <w:b/>
          <w:highlight w:val="yellow"/>
        </w:rPr>
        <w:t>]</w:t>
      </w:r>
    </w:p>
    <w:p w14:paraId="60CEC9A4" w14:textId="5756E0E1"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Pr="00157093">
        <w:rPr>
          <w:i/>
          <w:highlight w:val="yellow"/>
        </w:rPr>
        <w:t>]</w:t>
      </w:r>
    </w:p>
    <w:p w14:paraId="781A79E8" w14:textId="6389FA67"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2AC3B79D" w14:textId="339BB352"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167BF1A" w14:textId="31894F10"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741B23B5" w14:textId="645A6E4F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5035B9BC" w14:textId="4066ABAA"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8233930" w14:textId="1820C192"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A55C2C0" w14:textId="38EB1A78"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71D1133" w14:textId="3117463D" w:rsidR="00405696" w:rsidRDefault="00405696" w:rsidP="00405696">
      <w:pPr>
        <w:spacing w:after="0"/>
      </w:pPr>
      <w:r>
        <w:t xml:space="preserve">Zápis v obchodním rejstříku nebo jiné evidenci: </w:t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1299604" w14:textId="77777777" w:rsidR="0043113E" w:rsidRDefault="00D34D5C" w:rsidP="00D34D5C">
      <w:pPr>
        <w:spacing w:after="0"/>
      </w:pPr>
      <w:r>
        <w:t>(dále jen „</w:t>
      </w:r>
      <w:r w:rsidR="00B20C49" w:rsidRPr="00157093">
        <w:rPr>
          <w:b/>
        </w:rPr>
        <w:t>prodávající</w:t>
      </w:r>
      <w:r>
        <w:t>“)</w:t>
      </w:r>
    </w:p>
    <w:p w14:paraId="336CCBAE" w14:textId="77777777" w:rsidR="00CA45E2" w:rsidRDefault="00CA45E2" w:rsidP="00D34D5C">
      <w:pPr>
        <w:spacing w:after="0"/>
      </w:pPr>
    </w:p>
    <w:p w14:paraId="6FCE9CD7" w14:textId="77777777"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14:paraId="6463C626" w14:textId="77777777"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14:paraId="62B58089" w14:textId="299042F3" w:rsidR="00CA21B3" w:rsidRDefault="00CA21B3" w:rsidP="00B20A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dodávky, která je poskytována v rámci výběrového řízení s názvem </w:t>
      </w:r>
      <w:r w:rsidRPr="00157093">
        <w:t>„</w:t>
      </w:r>
      <w:r w:rsidR="00B20AB6" w:rsidRPr="00B20AB6">
        <w:t>Dodávka vstřikovacího stroje, formy a závěsné konstrukce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</w:t>
      </w:r>
      <w:r w:rsidR="006C6930">
        <w:t>P</w:t>
      </w:r>
      <w:r w:rsidR="0096584E">
        <w:t>rodávající</w:t>
      </w:r>
      <w:r w:rsidR="000747FB">
        <w:t xml:space="preserve"> </w:t>
      </w:r>
      <w:r w:rsidR="006C6930">
        <w:t>podpisem této smlouvy</w:t>
      </w:r>
      <w:r w:rsidR="000747FB">
        <w:t xml:space="preserve"> prohlašuje, že se s</w:t>
      </w:r>
      <w:r w:rsidR="006C6930">
        <w:t>e zadávací dokumentací</w:t>
      </w:r>
      <w:r w:rsidR="000747FB">
        <w:t>  před podpisem této smlouvy důkladně seznámil</w:t>
      </w:r>
      <w:r w:rsidR="00B20AB6">
        <w:t xml:space="preserve"> a souhlasí s podmínkami v ní uvedenými</w:t>
      </w:r>
      <w:r w:rsidR="000747FB">
        <w:t>.</w:t>
      </w:r>
    </w:p>
    <w:p w14:paraId="6810F4B7" w14:textId="77777777" w:rsidR="00B20C49" w:rsidRDefault="0096584E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Prodávající prohlašuje a podpisem této smlouvy potvrzuje, že:</w:t>
      </w:r>
    </w:p>
    <w:p w14:paraId="6D88EE5D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14:paraId="392D567A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B5B675B" w14:textId="77777777"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14:paraId="2C900792" w14:textId="77777777" w:rsidR="00E455FA" w:rsidRPr="00E455FA" w:rsidRDefault="00E455FA" w:rsidP="00B20AB6">
      <w:pPr>
        <w:keepNext/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14:paraId="2C7F37DE" w14:textId="77777777" w:rsidR="00E455FA" w:rsidRDefault="00E455FA" w:rsidP="00B20AB6">
      <w:pPr>
        <w:keepNext/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14:paraId="278F1299" w14:textId="1ACA89D0" w:rsidR="009468CB" w:rsidRDefault="009B1E78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9B1E78">
        <w:t xml:space="preserve">Předmětem této smlouvy je závazek prodávajícího dodat kupujícímu </w:t>
      </w:r>
      <w:r w:rsidR="00B20AB6">
        <w:t>1 ks vstřikovacího stroje</w:t>
      </w:r>
      <w:r w:rsidRPr="009B1E78">
        <w:t>, jehož přesná specifikace je uvedena v příloze č. 1 této smlouvy (dále jen „</w:t>
      </w:r>
      <w:r w:rsidRPr="004077F4">
        <w:rPr>
          <w:b/>
        </w:rPr>
        <w:t>zboží</w:t>
      </w:r>
      <w:r w:rsidRPr="009B1E78">
        <w:t>“), a převést na kupujícího vlastnické právo k tomuto zboží, a to za podmínek dále sjednaných v této smlouvě.</w:t>
      </w:r>
    </w:p>
    <w:p w14:paraId="36C92DFB" w14:textId="77777777" w:rsidR="00B932EF" w:rsidRDefault="00B932EF" w:rsidP="00254EE9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Prodávající dodá zboží dohodnutým způsobem</w:t>
      </w:r>
      <w:r w:rsidR="00D23273">
        <w:t>, v dohodnutém termínu a jakosti a za podmínek vyplývajících z této smlouvy, příslušných právních předpisů a norem, popř. zadávací dokumentace, která byl</w:t>
      </w:r>
      <w:r w:rsidR="004077F4">
        <w:t>a</w:t>
      </w:r>
      <w:r w:rsidR="00D23273">
        <w:t xml:space="preserve"> podkladem ke zpracování nabídky prodávajícího v</w:t>
      </w:r>
      <w:r w:rsidR="004077F4">
        <w:t>e</w:t>
      </w:r>
      <w:r w:rsidR="00D23273">
        <w:t> </w:t>
      </w:r>
      <w:r w:rsidR="004077F4">
        <w:t>výběrovém</w:t>
      </w:r>
      <w:r w:rsidR="00D23273">
        <w:t xml:space="preserve"> řízení podle Pravidel pro výběr dodavatelů </w:t>
      </w:r>
      <w:r w:rsidR="00D23273" w:rsidRPr="005A3BE1">
        <w:t xml:space="preserve">OP PIK </w:t>
      </w:r>
      <w:r w:rsidR="001A55C2">
        <w:t>účinných</w:t>
      </w:r>
      <w:r w:rsidR="004077F4">
        <w:t xml:space="preserve"> od</w:t>
      </w:r>
      <w:r w:rsidR="005A3BE1">
        <w:t xml:space="preserve"> </w:t>
      </w:r>
      <w:r w:rsidR="00AC03A8">
        <w:t>2</w:t>
      </w:r>
      <w:r w:rsidR="005A3BE1">
        <w:t xml:space="preserve">. </w:t>
      </w:r>
      <w:r w:rsidR="00AC03A8">
        <w:t>5</w:t>
      </w:r>
      <w:r w:rsidR="005A3BE1">
        <w:t>. 201</w:t>
      </w:r>
      <w:r w:rsidR="00AC03A8">
        <w:t>7</w:t>
      </w:r>
      <w:r w:rsidR="005A3BE1">
        <w:t>,</w:t>
      </w:r>
      <w:r w:rsidR="00D23273">
        <w:t xml:space="preserve"> na základě jehož výsledků byla uzavřena tato smlouva.</w:t>
      </w:r>
    </w:p>
    <w:p w14:paraId="5EF5CB13" w14:textId="77777777" w:rsidR="00D67CF5" w:rsidRDefault="00735C4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Součástí</w:t>
      </w:r>
      <w:r w:rsidR="008351C4">
        <w:t xml:space="preserve"> dodávky zboží dle odst. 1 tohoto článku smlouvy je taktéž:</w:t>
      </w:r>
    </w:p>
    <w:p w14:paraId="167C9064" w14:textId="44290678" w:rsidR="008351C4" w:rsidRDefault="008351C4" w:rsidP="005716BA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doprava do </w:t>
      </w:r>
      <w:r w:rsidR="00B20AB6">
        <w:t>místa plnění</w:t>
      </w:r>
      <w:r>
        <w:t>, vč. pojištění spojených s dodávkou a přepravou, vč. veškerých poplatků spojených s dovozem zboží, cla, daní, dovozní a vývozní přirážky,</w:t>
      </w:r>
    </w:p>
    <w:p w14:paraId="43BC02C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>instalace, uvedení do provozu,</w:t>
      </w:r>
    </w:p>
    <w:p w14:paraId="1EC44E56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prověření bezchybné funkčnosti a předvedení provozu u </w:t>
      </w:r>
      <w:r w:rsidR="005716BA">
        <w:t>kupujícího</w:t>
      </w:r>
      <w:r>
        <w:t>,</w:t>
      </w:r>
    </w:p>
    <w:p w14:paraId="6BFE073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proškolení obsluhy </w:t>
      </w:r>
      <w:r w:rsidR="004077F4">
        <w:t>(zaměstnanců kupujícího)</w:t>
      </w:r>
      <w:r w:rsidR="00C64504">
        <w:t xml:space="preserve"> v nezbytném rozsahu pro možnost řádného užívání dodaného zboží</w:t>
      </w:r>
      <w:r w:rsidR="004077F4">
        <w:t>.</w:t>
      </w:r>
    </w:p>
    <w:p w14:paraId="0B68B2BD" w14:textId="77777777" w:rsidR="002B3198" w:rsidRDefault="002B3198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</w:t>
      </w:r>
      <w:r w:rsidR="00773E07">
        <w:t>oučástí dodávky zboží dle odst. 1 tohoto článku smlouvy je dále předání veškeré dokumentace vztahující se ke zboží, která je potřebná pro nakládá</w:t>
      </w:r>
      <w:r w:rsidR="00522C71"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4A9DAEA3" w14:textId="77777777" w:rsidR="004077F4" w:rsidRDefault="004077F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uhradit prodávajícímu za řádně a včas dodané zboží kupní cenu smluvenou dle této smlouvy.</w:t>
      </w:r>
    </w:p>
    <w:p w14:paraId="1E4182FA" w14:textId="77777777" w:rsidR="00F94336" w:rsidRDefault="00F94336" w:rsidP="00F94336">
      <w:pPr>
        <w:spacing w:after="0"/>
      </w:pPr>
    </w:p>
    <w:p w14:paraId="524A698A" w14:textId="77777777"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14:paraId="0BBFC03B" w14:textId="77777777" w:rsidR="00F94336" w:rsidRPr="005F12F8" w:rsidRDefault="00F94336" w:rsidP="005F12F8">
      <w:pPr>
        <w:spacing w:after="120"/>
        <w:jc w:val="center"/>
        <w:rPr>
          <w:b/>
        </w:rPr>
      </w:pPr>
      <w:r w:rsidRPr="005F12F8">
        <w:rPr>
          <w:b/>
        </w:rPr>
        <w:t>Kvalitativní požadavky na zboží</w:t>
      </w:r>
    </w:p>
    <w:p w14:paraId="563E5CE4" w14:textId="74EA01B5" w:rsidR="00F94336" w:rsidRDefault="00F94336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Zboží musí splňovat veškeré požadavky příslušných obecně závazných právních předpisů </w:t>
      </w:r>
      <w:r w:rsidR="00B20AB6">
        <w:br/>
      </w:r>
      <w:r>
        <w:t xml:space="preserve">a českých a evropských norem ČSN a EN. Zboží bude dodáno jako nové, ne repasované, ne </w:t>
      </w:r>
      <w:r w:rsidR="004077F4">
        <w:t>prototyp</w:t>
      </w:r>
      <w:r>
        <w:t>.</w:t>
      </w:r>
    </w:p>
    <w:p w14:paraId="317E7F48" w14:textId="77777777" w:rsidR="0028130C" w:rsidRDefault="0028130C" w:rsidP="00254EE9">
      <w:pPr>
        <w:pStyle w:val="Odstavecseseznamem"/>
        <w:numPr>
          <w:ilvl w:val="0"/>
          <w:numId w:val="4"/>
        </w:numPr>
        <w:spacing w:after="0"/>
        <w:jc w:val="both"/>
      </w:pPr>
      <w:r>
        <w:t>Prodávající prohlašuje, že je vlastníkem zboží a že na zboží</w:t>
      </w:r>
      <w:r w:rsidR="008E6C43">
        <w:t xml:space="preserve"> neváznou žádné věcné ani právní vady.</w:t>
      </w:r>
    </w:p>
    <w:p w14:paraId="5CE5A893" w14:textId="77777777" w:rsidR="00D67CF5" w:rsidRDefault="00D67CF5" w:rsidP="00D67CF5">
      <w:pPr>
        <w:spacing w:after="0"/>
      </w:pPr>
    </w:p>
    <w:p w14:paraId="7180EAD0" w14:textId="77777777"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14:paraId="79BD1E7A" w14:textId="77777777"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Doba, místo, způsob a jakost plnění</w:t>
      </w:r>
    </w:p>
    <w:p w14:paraId="67472455" w14:textId="0E2328B1" w:rsidR="00606EFB" w:rsidRPr="00A90A82" w:rsidRDefault="00A90A82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 w:rsidRPr="00A90A82">
        <w:t xml:space="preserve">Prodávající se zavazuje dodat zboží nejpozději do </w:t>
      </w:r>
      <w:r w:rsidR="00D91DB9" w:rsidRPr="00D91DB9">
        <w:t>6</w:t>
      </w:r>
      <w:r w:rsidR="00163801" w:rsidRPr="00D91DB9">
        <w:t xml:space="preserve"> měsíců</w:t>
      </w:r>
      <w:r w:rsidR="00163801">
        <w:t xml:space="preserve"> od podpisu smlouvy</w:t>
      </w:r>
      <w:r w:rsidR="00735032" w:rsidRPr="00DF06D1">
        <w:t>.</w:t>
      </w:r>
    </w:p>
    <w:p w14:paraId="2F49AE04" w14:textId="16668526" w:rsidR="009560FA" w:rsidRDefault="00444A17" w:rsidP="00B20AB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Místem plnění je </w:t>
      </w:r>
      <w:r w:rsidR="00B20AB6" w:rsidRPr="00B20AB6">
        <w:t>Rokytova 1019, 615 00 Brno</w:t>
      </w:r>
      <w:r>
        <w:t>.</w:t>
      </w:r>
    </w:p>
    <w:p w14:paraId="38A5A0D3" w14:textId="77777777" w:rsidR="00481024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O dodání zboží, včetně jeho instalace, kalibrace, uvedení do provozu, prověření jeho bezchybné funkčnosti, provedení zkušebního provozu a jeho předvedení v provozu kupujícího, zaškolení obsluhy, předání manuálů pro provoz a veškeré další dokumentace vztahující se ke zboží kupujícímu, sepíší smluvní strany předávací protokol, který bude podepsán oprávněnými</w:t>
      </w:r>
      <w:r w:rsidR="004913F5">
        <w:t xml:space="preserve"> zástupci obou smluvních stran.</w:t>
      </w:r>
    </w:p>
    <w:p w14:paraId="4517A288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Nebezpečí za škodu na zboží a vlastnické právo ke zboží přechází na kupujícího okamžikem oboustranného podpisu předávacího protokolu dle předchozího odstavce.</w:t>
      </w:r>
    </w:p>
    <w:p w14:paraId="36C31A1E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lastRenderedPageBreak/>
        <w:t>Prodávající uvědomí o datu dodávky zboží kupujícího alespoň 3 dny před jejím uskutečněním.</w:t>
      </w:r>
    </w:p>
    <w:p w14:paraId="75CDBB26" w14:textId="77777777" w:rsidR="00D135AA" w:rsidRDefault="00D135AA" w:rsidP="00254EE9">
      <w:pPr>
        <w:pStyle w:val="Odstavecseseznamem"/>
        <w:numPr>
          <w:ilvl w:val="0"/>
          <w:numId w:val="6"/>
        </w:numPr>
        <w:spacing w:after="0"/>
        <w:jc w:val="both"/>
      </w:pPr>
      <w:r>
        <w:t>Kupující je oprávněn nepřevzít zboží, pokud prodávající zboží nedodá řádně a včas</w:t>
      </w:r>
      <w:r w:rsidR="003F7529">
        <w:t xml:space="preserve">, zejména </w:t>
      </w:r>
      <w:r w:rsidR="0054626E">
        <w:t xml:space="preserve">pokud prodávající nedodá zboží v dohodnutém množství nebo kvalitě, zboží je poškozené nebo rozbité, prodávající nedodá potřebnou dokumentaci ke zboží nebo neprovede </w:t>
      </w:r>
      <w:r w:rsidR="006F3057">
        <w:t>činnosti podmiň</w:t>
      </w:r>
      <w:r w:rsidR="0054626E">
        <w:t>ující uvedení zboží do provozu a jeho řádnou funkčnost.</w:t>
      </w:r>
    </w:p>
    <w:p w14:paraId="7091A13B" w14:textId="77777777"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14:paraId="1DE33B2A" w14:textId="77777777" w:rsidR="00A05D74" w:rsidRDefault="00A05D74" w:rsidP="00A40338">
      <w:pPr>
        <w:spacing w:after="120"/>
        <w:jc w:val="center"/>
        <w:rPr>
          <w:b/>
        </w:rPr>
      </w:pPr>
      <w:r w:rsidRPr="00A05D74">
        <w:rPr>
          <w:b/>
        </w:rPr>
        <w:t>Kupní cena a platební podmínky</w:t>
      </w:r>
    </w:p>
    <w:p w14:paraId="31616EEF" w14:textId="77777777" w:rsidR="00A05D74" w:rsidRDefault="00A40338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Kupující se za zboží zavazuje prodávajícímu zaplatit kupní cenu ve výši:</w:t>
      </w:r>
    </w:p>
    <w:p w14:paraId="01E994E7" w14:textId="29B7CD6A" w:rsid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i/>
        </w:rPr>
      </w:pPr>
      <w:r>
        <w:t xml:space="preserve">Cena bez DPH: </w:t>
      </w:r>
      <w:r>
        <w:tab/>
        <w:t xml:space="preserve">……………………………………… </w:t>
      </w:r>
      <w:r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2F5624">
        <w:rPr>
          <w:i/>
          <w:highlight w:val="yellow"/>
        </w:rPr>
        <w:t>)</w:t>
      </w:r>
    </w:p>
    <w:p w14:paraId="79021FBB" w14:textId="5E3276D1" w:rsidR="006D1602" w:rsidRPr="006D1602" w:rsidRDefault="006D1602" w:rsidP="004140B6">
      <w:pPr>
        <w:pStyle w:val="Odstavecseseznamem"/>
        <w:tabs>
          <w:tab w:val="left" w:pos="3544"/>
        </w:tabs>
        <w:spacing w:after="120"/>
        <w:jc w:val="both"/>
      </w:pP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1884384" w14:textId="4AF27A41" w:rsidR="00A40338" w:rsidRP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b/>
        </w:rPr>
      </w:pPr>
      <w:r>
        <w:t xml:space="preserve">DPH: </w:t>
      </w:r>
      <w: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4393162A" w14:textId="30D1A610" w:rsidR="00A40338" w:rsidRPr="004140B6" w:rsidRDefault="00A40338" w:rsidP="004140B6">
      <w:pPr>
        <w:pStyle w:val="Odstavecseseznamem"/>
        <w:tabs>
          <w:tab w:val="left" w:pos="3544"/>
        </w:tabs>
        <w:spacing w:after="120"/>
        <w:contextualSpacing w:val="0"/>
        <w:jc w:val="both"/>
        <w:rPr>
          <w:b/>
          <w:i/>
        </w:rPr>
      </w:pPr>
      <w:r w:rsidRPr="004140B6">
        <w:rPr>
          <w:b/>
        </w:rPr>
        <w:t>Cena celkem vč. DPH:</w:t>
      </w:r>
      <w:r w:rsidRPr="004140B6">
        <w:rPr>
          <w:b/>
        </w:rP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1A967F21" w14:textId="77777777" w:rsidR="00202071" w:rsidRPr="002377EB" w:rsidRDefault="00202071" w:rsidP="00254EE9">
      <w:pPr>
        <w:pStyle w:val="Odstavecseseznamem"/>
        <w:numPr>
          <w:ilvl w:val="0"/>
          <w:numId w:val="7"/>
        </w:numPr>
        <w:spacing w:after="120"/>
        <w:jc w:val="both"/>
      </w:pPr>
      <w:r w:rsidRPr="002377EB">
        <w:t>Kupní cena b</w:t>
      </w:r>
      <w:r w:rsidR="00B45234" w:rsidRPr="002377EB">
        <w:t xml:space="preserve">ude hrazena kupujícím po částech zálohově, a to </w:t>
      </w:r>
      <w:r w:rsidRPr="002377EB">
        <w:t>následujícím způsobem:</w:t>
      </w:r>
    </w:p>
    <w:p w14:paraId="1A97C1F3" w14:textId="7CE8430F"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>První platba</w:t>
      </w:r>
      <w:r w:rsidR="00C06F69">
        <w:t xml:space="preserve"> </w:t>
      </w:r>
      <w:r w:rsidR="00C06F69" w:rsidRPr="002377EB">
        <w:t xml:space="preserve">ve výši </w:t>
      </w:r>
      <w:r w:rsidR="00C06F69">
        <w:rPr>
          <w:b/>
        </w:rPr>
        <w:t xml:space="preserve">30 </w:t>
      </w:r>
      <w:r w:rsidR="00C06F69" w:rsidRPr="002377EB">
        <w:rPr>
          <w:b/>
        </w:rPr>
        <w:t>%</w:t>
      </w:r>
      <w:r w:rsidR="00C06F69" w:rsidRPr="002377EB">
        <w:t xml:space="preserve"> kupní ceny, tj. ……………………………………………………………</w:t>
      </w:r>
      <w:r w:rsidR="00C06F69">
        <w:t xml:space="preserve"> </w:t>
      </w:r>
      <w:r w:rsidR="00C06F69" w:rsidRPr="002F5624">
        <w:rPr>
          <w:i/>
          <w:highlight w:val="yellow"/>
        </w:rPr>
        <w:t xml:space="preserve">(doplní </w:t>
      </w:r>
      <w:r w:rsidR="00C06F69">
        <w:rPr>
          <w:i/>
          <w:highlight w:val="yellow"/>
        </w:rPr>
        <w:t>účastník</w:t>
      </w:r>
      <w:r w:rsidR="00C06F69" w:rsidRPr="002F5624">
        <w:rPr>
          <w:i/>
          <w:highlight w:val="yellow"/>
        </w:rPr>
        <w:t>)</w:t>
      </w:r>
      <w:r w:rsidR="00C06F69" w:rsidRPr="00C06F69">
        <w:t>,</w:t>
      </w:r>
      <w:r w:rsidRPr="002377EB">
        <w:t xml:space="preserve"> </w:t>
      </w:r>
      <w:r w:rsidR="000E2924" w:rsidRPr="002377EB">
        <w:t xml:space="preserve">bude uhrazena </w:t>
      </w:r>
      <w:r w:rsidR="00C06F69">
        <w:t xml:space="preserve">na základě zálohové faktury se splatností </w:t>
      </w:r>
      <w:r w:rsidR="00A17D9D">
        <w:t>14</w:t>
      </w:r>
      <w:r w:rsidR="00C06F69">
        <w:t xml:space="preserve"> dní vystavené prodávajícím po</w:t>
      </w:r>
      <w:r w:rsidR="000E2924" w:rsidRPr="002377EB">
        <w:t xml:space="preserve"> uzavření smlouvy.</w:t>
      </w:r>
    </w:p>
    <w:p w14:paraId="4AF83A27" w14:textId="3A1CEA97" w:rsidR="000E2924" w:rsidRDefault="002377EB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Dalších </w:t>
      </w:r>
      <w:r w:rsidR="005668E6">
        <w:rPr>
          <w:b/>
        </w:rPr>
        <w:t>4</w:t>
      </w:r>
      <w:r>
        <w:rPr>
          <w:b/>
        </w:rPr>
        <w:t>0</w:t>
      </w:r>
      <w:r w:rsidR="00FE4231">
        <w:rPr>
          <w:b/>
        </w:rPr>
        <w:t xml:space="preserve"> </w:t>
      </w:r>
      <w:r w:rsidRPr="002377EB">
        <w:rPr>
          <w:b/>
        </w:rPr>
        <w:t>%</w:t>
      </w:r>
      <w:r>
        <w:t xml:space="preserve"> kupní ceny, tj. ………………………………………………………….</w:t>
      </w:r>
      <w:r w:rsidR="00350765"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>
        <w:t>, uhradí kupující po expedic</w:t>
      </w:r>
      <w:r w:rsidR="001800CD">
        <w:t xml:space="preserve">i zboží do místa plnění </w:t>
      </w:r>
      <w:r w:rsidR="00C06F69">
        <w:t>na základě</w:t>
      </w:r>
      <w:r>
        <w:t xml:space="preserve"> faktury</w:t>
      </w:r>
      <w:r w:rsidR="00C06F69">
        <w:t xml:space="preserve"> se splatností</w:t>
      </w:r>
      <w:r>
        <w:t xml:space="preserve"> </w:t>
      </w:r>
      <w:r w:rsidR="00A17D9D">
        <w:t>14</w:t>
      </w:r>
      <w:r>
        <w:t xml:space="preserve"> dnů ode dne jejího doručení kupujícímu.</w:t>
      </w:r>
    </w:p>
    <w:p w14:paraId="2FDBD0D2" w14:textId="4A350EFE" w:rsidR="001800CD" w:rsidRPr="00B02FC8" w:rsidRDefault="001800C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Úhrada zbývajících </w:t>
      </w:r>
      <w:r w:rsidR="00C06F69">
        <w:rPr>
          <w:b/>
        </w:rPr>
        <w:t>3</w:t>
      </w:r>
      <w:r w:rsidRPr="00B02FC8">
        <w:rPr>
          <w:b/>
        </w:rPr>
        <w:t>0</w:t>
      </w:r>
      <w:r w:rsidR="00B02FC8" w:rsidRPr="00B02FC8">
        <w:rPr>
          <w:b/>
        </w:rPr>
        <w:t xml:space="preserve"> </w:t>
      </w:r>
      <w:r w:rsidRPr="00B02FC8">
        <w:rPr>
          <w:b/>
        </w:rPr>
        <w:t xml:space="preserve">% </w:t>
      </w:r>
      <w:r>
        <w:t>kupní ceny, tj. …………………………………………………………….</w:t>
      </w:r>
      <w:r w:rsidR="00350765"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>
        <w:t xml:space="preserve">, bude kupujícím provedena na základě konečné faktury vystavené prodávajícím po podpisu předávacího protokolu za dodávku zboží </w:t>
      </w:r>
      <w:r w:rsidR="003D74C9">
        <w:t>dle</w:t>
      </w:r>
      <w:r w:rsidR="003D74C9" w:rsidRPr="000F6095">
        <w:t xml:space="preserve"> </w:t>
      </w:r>
      <w:r w:rsidR="00E32895" w:rsidRPr="000F6095">
        <w:t>čl. III</w:t>
      </w:r>
      <w:r w:rsidR="000F6095" w:rsidRPr="000F6095">
        <w:t xml:space="preserve">. </w:t>
      </w:r>
      <w:r w:rsidR="000F6095">
        <w:t>o</w:t>
      </w:r>
      <w:r w:rsidR="000F6095" w:rsidRPr="000F6095">
        <w:t>dst</w:t>
      </w:r>
      <w:r w:rsidR="000F6095">
        <w:t>.</w:t>
      </w:r>
      <w:r w:rsidR="000F6095" w:rsidRPr="000F6095">
        <w:t xml:space="preserve"> 1</w:t>
      </w:r>
      <w:r w:rsidR="003D74C9" w:rsidRPr="000F6095">
        <w:t xml:space="preserve"> této smlouvy</w:t>
      </w:r>
      <w:r w:rsidR="000F6095" w:rsidRPr="000F6095">
        <w:t>,</w:t>
      </w:r>
      <w:r w:rsidR="003D74C9" w:rsidRPr="000F6095">
        <w:t xml:space="preserve"> </w:t>
      </w:r>
      <w:r w:rsidR="003D74C9" w:rsidRPr="00FE4231">
        <w:t>se splatností fa</w:t>
      </w:r>
      <w:r w:rsidR="00FE4231">
        <w:t>k</w:t>
      </w:r>
      <w:r w:rsidR="003D74C9" w:rsidRPr="00FE4231">
        <w:t xml:space="preserve">tury </w:t>
      </w:r>
      <w:r w:rsidR="00A17D9D">
        <w:t>14</w:t>
      </w:r>
      <w:bookmarkStart w:id="0" w:name="_GoBack"/>
      <w:bookmarkEnd w:id="0"/>
      <w:r w:rsidR="003D74C9" w:rsidRPr="00FE4231">
        <w:t xml:space="preserve"> dnů od jejího doručení kupujícímu</w:t>
      </w:r>
      <w:r w:rsidR="003D74C9" w:rsidRPr="00350765">
        <w:t>.</w:t>
      </w:r>
    </w:p>
    <w:p w14:paraId="1EE6DC49" w14:textId="77777777" w:rsidR="00B02FC8" w:rsidRPr="002377EB" w:rsidRDefault="00B02FC8" w:rsidP="00B02FC8">
      <w:pPr>
        <w:spacing w:after="120"/>
        <w:ind w:left="708"/>
        <w:jc w:val="both"/>
      </w:pPr>
      <w:r>
        <w:t>Úhrady faktur provede kupující bezhotovostním převodem na účet prodávajícího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</w:p>
    <w:p w14:paraId="199DA7C0" w14:textId="77777777"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Faktura vystavená na základě této smlouvy musí splňovat náležitosti daňového dokladu. Kromě povinných náležitostí daňového d</w:t>
      </w:r>
      <w:r>
        <w:t>okladu musí faktura obsahovat</w:t>
      </w:r>
      <w:r w:rsidR="00AC6002">
        <w:t xml:space="preserve"> také tyto údaje</w:t>
      </w:r>
      <w:r>
        <w:t>:</w:t>
      </w:r>
    </w:p>
    <w:p w14:paraId="50393250" w14:textId="0B72E5BF" w:rsidR="00992B2D" w:rsidRDefault="00992B2D" w:rsidP="00C06F69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C06F69" w:rsidRPr="00C06F69">
        <w:t xml:space="preserve">Inovace ve společnosti </w:t>
      </w:r>
      <w:proofErr w:type="spellStart"/>
      <w:r w:rsidR="00C06F69" w:rsidRPr="00C06F69">
        <w:t>Enjoy</w:t>
      </w:r>
      <w:proofErr w:type="spellEnd"/>
      <w:r w:rsidR="00C06F69" w:rsidRPr="00C06F69">
        <w:t xml:space="preserve"> </w:t>
      </w:r>
      <w:proofErr w:type="spellStart"/>
      <w:r w:rsidR="00C06F69" w:rsidRPr="00C06F69">
        <w:t>Trade</w:t>
      </w:r>
      <w:proofErr w:type="spellEnd"/>
      <w:r w:rsidR="000C29F4">
        <w:t>“</w:t>
      </w:r>
    </w:p>
    <w:p w14:paraId="3D4BFE6E" w14:textId="27A02CE3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C06F69">
        <w:t>(bude sděleno po podpisu smlouvy)</w:t>
      </w:r>
    </w:p>
    <w:p w14:paraId="276C93DC" w14:textId="77777777"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>specifikace dodaného zboží</w:t>
      </w:r>
      <w:r w:rsidRPr="00992B2D">
        <w:t xml:space="preserve"> </w:t>
      </w:r>
    </w:p>
    <w:p w14:paraId="0B7126DB" w14:textId="5285DA09"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 xml:space="preserve">Nebude-li faktura obsahovat všechny vyžadované údaje nebo bude-li obsahovat chybné údaje, je </w:t>
      </w:r>
      <w:r w:rsidR="00C06F69">
        <w:t>kupující</w:t>
      </w:r>
      <w:r w:rsidRPr="00992B2D">
        <w:t xml:space="preserve"> oprávněn fakturu </w:t>
      </w:r>
      <w:r w:rsidR="00C06F69">
        <w:t>prodávajícímu</w:t>
      </w:r>
      <w:r w:rsidRPr="00992B2D">
        <w:t xml:space="preserve"> ve lhůtě splatnosti vrátit k opravě. V takovém případě se lhůta splatnosti přerušuje a začíná běžet znovu od počátku okamžikem doručení opravené faktury </w:t>
      </w:r>
      <w:r w:rsidR="00834F5E">
        <w:t>prodávajícím</w:t>
      </w:r>
      <w:r w:rsidRPr="00992B2D">
        <w:t xml:space="preserve"> do sídla </w:t>
      </w:r>
      <w:r w:rsidR="00834F5E">
        <w:t>kupujícího</w:t>
      </w:r>
      <w:r w:rsidRPr="00992B2D">
        <w:t>.</w:t>
      </w:r>
    </w:p>
    <w:p w14:paraId="0EEC616D" w14:textId="286CC771" w:rsidR="00254EE9" w:rsidRDefault="00B94F72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Kupní cena uvedená v odst. 1</w:t>
      </w:r>
      <w:r w:rsidR="00872B6E">
        <w:t xml:space="preserve"> tohoto článku smlouvy je stanovena dohodou smluvních stran, přičemž zahrnuje veškeré náklady </w:t>
      </w:r>
      <w:r w:rsidR="006411BB">
        <w:t>p</w:t>
      </w:r>
      <w:r w:rsidR="00872B6E">
        <w:t>rodávajícího spojené s plněním všech jeho povinností vyplývajících z této smlouvy (zejména náklady na dopravu, pojištění, celní a jiné poplatky) a je sjednána jako konečná. Ke změně kupní ceny můž</w:t>
      </w:r>
      <w:r w:rsidR="00C06F69">
        <w:t xml:space="preserve">e dojít výhradně změnou sazby DPH </w:t>
      </w:r>
      <w:r w:rsidR="00872B6E">
        <w:t>dle příslušného zákona.</w:t>
      </w:r>
    </w:p>
    <w:p w14:paraId="1D62391D" w14:textId="77777777" w:rsidR="00226848" w:rsidRP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lastRenderedPageBreak/>
        <w:t>VII.</w:t>
      </w:r>
    </w:p>
    <w:p w14:paraId="5C35CEF2" w14:textId="77777777" w:rsid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14:paraId="175109B6" w14:textId="77777777"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prodávající v prodlení s dodáním </w:t>
      </w:r>
      <w:r w:rsidR="001472F6">
        <w:t>zboží</w:t>
      </w:r>
      <w:r>
        <w:t xml:space="preserve"> nebo </w:t>
      </w:r>
      <w:r w:rsidR="007A2D50">
        <w:t xml:space="preserve">poskytnutím </w:t>
      </w:r>
      <w:r>
        <w:t>všech ostatních dodávek, prací a služeb, které jsou součástí předmětu plnění dle této smlouvy, má kupující právo požadovat uhrazení smluvní pokuty ze strany prodávajícího ve výši 0,05</w:t>
      </w:r>
      <w:r w:rsidR="001472F6">
        <w:t xml:space="preserve"> </w:t>
      </w:r>
      <w:r>
        <w:t>% z kupní ceny bez DPH za každý i započatý den prodlení.</w:t>
      </w:r>
      <w:r w:rsidR="00DF4560">
        <w:t xml:space="preserve"> </w:t>
      </w:r>
    </w:p>
    <w:p w14:paraId="1AEE3EE5" w14:textId="77777777"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Při nedodržení termínu splatnosti faktury kupujícím je prodávající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0EF9E60" w14:textId="677952DF"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Splatnost smluvní pokuty je 14 dnů od doručení písemné výzvy prodávajícímu. Povinností k úhradě smluvní pokuty není dotčeno právo kupujícího na náhradu škody, která mu </w:t>
      </w:r>
      <w:r w:rsidR="004C13F8">
        <w:t>porušením povinnosti, ke které</w:t>
      </w:r>
      <w:r>
        <w:t xml:space="preserve"> se smluvní pokuta vztahuje, vznikla. Prodávající je povinen kupujícímu nahradit i škodu, která přesahuje výši smluvní pokuty</w:t>
      </w:r>
    </w:p>
    <w:p w14:paraId="439B91C8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14:paraId="42347561" w14:textId="77777777"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14:paraId="7187EE44" w14:textId="77777777" w:rsidR="005C4312" w:rsidRDefault="005C4312" w:rsidP="005C4312">
      <w:pPr>
        <w:pStyle w:val="Odstavecseseznamem"/>
        <w:numPr>
          <w:ilvl w:val="0"/>
          <w:numId w:val="11"/>
        </w:numPr>
        <w:spacing w:after="0"/>
        <w:jc w:val="both"/>
      </w:pPr>
      <w:r w:rsidRPr="005C4312">
        <w:t xml:space="preserve">Prodávající </w:t>
      </w:r>
      <w:r>
        <w:t xml:space="preserve">si je vědom skutečnosti, že </w:t>
      </w:r>
      <w:r w:rsidRPr="005C4312"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="00DD169C">
        <w:t>Prodávající</w:t>
      </w:r>
      <w:r w:rsidRPr="005C4312">
        <w:t xml:space="preserve"> je povinen archivovat veškerou dokumentaci související s prováděním této zakázky minimálně po dobu vyžadovanou právními předpisy ČR k archivaci a poskytnout nezbytnou součinnost </w:t>
      </w:r>
      <w:r w:rsidR="00DD169C">
        <w:t>kupujícímu</w:t>
      </w:r>
      <w:r w:rsidRPr="005C4312">
        <w:t xml:space="preserve"> nebo kontrolním orgánům projektu při případné kontrole dokladů o provedení této zakázky. Povinností součinnosti ve stejném rozsahu je </w:t>
      </w:r>
      <w:r w:rsidR="00DD169C">
        <w:t>prodávající</w:t>
      </w:r>
      <w:r w:rsidRPr="005C4312">
        <w:t xml:space="preserve"> povinen zavázat i případné své subdodavatele.</w:t>
      </w:r>
    </w:p>
    <w:p w14:paraId="06CC935A" w14:textId="77777777" w:rsidR="00906972" w:rsidRDefault="00906972" w:rsidP="00906972">
      <w:pPr>
        <w:spacing w:after="0"/>
        <w:jc w:val="both"/>
      </w:pPr>
    </w:p>
    <w:p w14:paraId="713DA5DB" w14:textId="45D8B201" w:rsidR="00906972" w:rsidRDefault="00906972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odpovídá za vady, které má zboží v době jeho předání a dále za vady zjištěné po celou dobu záruční </w:t>
      </w:r>
      <w:r w:rsidR="004C13F8">
        <w:t>doby</w:t>
      </w:r>
      <w:r>
        <w:t xml:space="preserve">. Prodávající tímto poskytuje kupujícímu záruku, že po dobu záruční </w:t>
      </w:r>
      <w:r w:rsidR="007A459C">
        <w:t>doby</w:t>
      </w:r>
      <w:r>
        <w:t xml:space="preserve"> bude mít zboží vlastnosti stanovené touto smlouvou, příslušnými právními předpisy či normami, příp. vlastnosti obvyklé. Záruční doba činí ……………………. měsíců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7A459C">
        <w:rPr>
          <w:i/>
          <w:highlight w:val="yellow"/>
        </w:rPr>
        <w:t>, minimálně však 12 měsíců)</w:t>
      </w:r>
      <w:r w:rsidR="006212E2">
        <w:rPr>
          <w:i/>
        </w:rPr>
        <w:t xml:space="preserve"> </w:t>
      </w:r>
      <w:r w:rsidR="006212E2">
        <w:t>a počíná běžet okamžikem oboustranného podpisu předávacího protokolu. Záruční doba neběží po dobu od oznámen</w:t>
      </w:r>
      <w:r w:rsidR="004C13F8">
        <w:t xml:space="preserve">í vady do doby sjednání nápravy </w:t>
      </w:r>
      <w:r w:rsidR="006212E2">
        <w:t>předmětné vady.</w:t>
      </w:r>
    </w:p>
    <w:p w14:paraId="6510AB4E" w14:textId="77777777" w:rsidR="00756C69" w:rsidRDefault="00756C69" w:rsidP="00756C69">
      <w:pPr>
        <w:pStyle w:val="Odstavecseseznamem"/>
      </w:pPr>
    </w:p>
    <w:p w14:paraId="4B88CD24" w14:textId="3FBAC053" w:rsidR="00756C69" w:rsidRDefault="00756C69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Práva kupujícího z vadného plnění a záruky upravují příslušná ustanovení OZ.</w:t>
      </w:r>
      <w:r w:rsidR="006F2C7E">
        <w:t xml:space="preserve"> Smluvní strany se však odlišně od OZ dohodly, že kupující je povinen oznámit prodávajícímu jakékoliv případn</w:t>
      </w:r>
      <w:r w:rsidR="007A459C">
        <w:t>é</w:t>
      </w:r>
      <w:r w:rsidR="006F2C7E">
        <w:t xml:space="preserve"> vady zboží bez zbytečného odkladu poté, co takové vady zjistí (nejpozději však do 14 dnů od zjištění vady). Sou</w:t>
      </w:r>
      <w:r w:rsidR="004C13F8">
        <w:t>časně se strany dohodly, že jaké</w:t>
      </w:r>
      <w:r w:rsidR="006F2C7E">
        <w:t>koliv oznámení vad (reklamace) musí být učiněn</w:t>
      </w:r>
      <w:r w:rsidR="004C13F8">
        <w:t>o</w:t>
      </w:r>
      <w:r w:rsidR="006F2C7E">
        <w:t xml:space="preserve"> písemně</w:t>
      </w:r>
      <w:r w:rsidR="004C13F8">
        <w:t>, přičemž za dostatečnou formu bude považováno i oznámení</w:t>
      </w:r>
      <w:r w:rsidR="006F2C7E">
        <w:t xml:space="preserve"> e</w:t>
      </w:r>
      <w:r w:rsidR="007A459C">
        <w:t>-</w:t>
      </w:r>
      <w:r w:rsidR="006F2C7E">
        <w:t xml:space="preserve">mailem na adresu ……………………………………………………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 w:rsidR="006F2C7E">
        <w:t>, přičemž i oznámení odeslané poslední</w:t>
      </w:r>
      <w:r w:rsidR="00E12D43">
        <w:t>ho dne lhůty se považuje za včas</w:t>
      </w:r>
      <w:r w:rsidR="006F2C7E">
        <w:t xml:space="preserve"> učiněné.</w:t>
      </w:r>
    </w:p>
    <w:p w14:paraId="5A32B6F1" w14:textId="77777777" w:rsidR="00E12D43" w:rsidRDefault="00E12D43" w:rsidP="00E12D43">
      <w:pPr>
        <w:pStyle w:val="Odstavecseseznamem"/>
      </w:pPr>
    </w:p>
    <w:p w14:paraId="66A125B9" w14:textId="7A70FF33" w:rsidR="00E12D43" w:rsidRDefault="00E12D4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</w:t>
      </w:r>
      <w:r>
        <w:lastRenderedPageBreak/>
        <w:t xml:space="preserve">specifikace a požadavky dle této smlouvy) a převést vlastnické právo k němu na kupujícího. Reklamovaná vada musí být odstraněna ve lhůtě odpovídající povaze vady, nejpozději však do 15 dnů od reklamace vady, nedohodnou-li se </w:t>
      </w:r>
      <w:r w:rsidR="004C13F8">
        <w:t xml:space="preserve">smluvní </w:t>
      </w:r>
      <w:r>
        <w:t>strany pro konkrétní případ písemně jinak. Neodstraní-li prodávající vadu v příslušné lhůtě a nesjedná-li nápravu ani po písemné výzvě kupujícího a v dodatečné lhůtě alespoň 7 dnů od doručení takové výzvy, je kupující oprávněn nechat danou vadu odstranit na náklady prodávajícího, aniž by tím byla dotčena poskytnutá záruka.</w:t>
      </w:r>
    </w:p>
    <w:p w14:paraId="4F3112CE" w14:textId="77777777" w:rsidR="00D21DCF" w:rsidRDefault="00D21DCF" w:rsidP="00D21DCF">
      <w:pPr>
        <w:pStyle w:val="Odstavecseseznamem"/>
      </w:pPr>
    </w:p>
    <w:p w14:paraId="28AB588E" w14:textId="77777777" w:rsidR="00D21DCF" w:rsidRDefault="00D21DCF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07112C1" w14:textId="77777777" w:rsidR="00DC4E63" w:rsidRDefault="00DC4E63" w:rsidP="00DC4E63">
      <w:pPr>
        <w:pStyle w:val="Odstavecseseznamem"/>
      </w:pPr>
    </w:p>
    <w:p w14:paraId="1CE967C8" w14:textId="77777777" w:rsidR="00DC4E63" w:rsidRPr="005C4312" w:rsidRDefault="00DC4E6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je povinen provést nápravu vady dle výše </w:t>
      </w:r>
      <w:r w:rsidR="0052193F">
        <w:t>uvedeného i v případě, kdy reklamaci neuznává, přičemž nese související náklady až do doby, než se prokáže, zdali byla vada reklamována oprávněně.</w:t>
      </w:r>
      <w:r w:rsidR="008E6DE6">
        <w:t xml:space="preserve"> Prokáže-li se ve sporných případech, že </w:t>
      </w:r>
      <w:r w:rsidR="00CB2D29">
        <w:t>kupující</w:t>
      </w:r>
      <w:r w:rsidR="008E6DE6">
        <w:t xml:space="preserve"> vadu reklamoval neoprávněně, tzn., že prodá</w:t>
      </w:r>
      <w:r w:rsidR="006E3DE9">
        <w:t>vající za vadu neodpovídá či se</w:t>
      </w:r>
      <w:r w:rsidR="008E6DE6">
        <w:t xml:space="preserve"> </w:t>
      </w:r>
      <w:r w:rsidR="006E3DE9">
        <w:t>n</w:t>
      </w:r>
      <w:r w:rsidR="008E6DE6">
        <w:t>a</w:t>
      </w:r>
      <w:r w:rsidR="006E3DE9">
        <w:t xml:space="preserve"> </w:t>
      </w:r>
      <w:r w:rsidR="008E6DE6">
        <w:t xml:space="preserve">ni nevztahuje poskytnutá záruka, je </w:t>
      </w:r>
      <w:r w:rsidR="00CB2D29">
        <w:t>kupující</w:t>
      </w:r>
      <w:r w:rsidR="008E6DE6">
        <w:t xml:space="preserve"> povinen uhradit </w:t>
      </w:r>
      <w:r w:rsidR="00CB2D29">
        <w:t>prodávajícímu</w:t>
      </w:r>
      <w:r w:rsidR="008E6DE6">
        <w:t xml:space="preserve"> veškeré </w:t>
      </w:r>
      <w:r w:rsidR="00CB2D29">
        <w:t>prodávajícím</w:t>
      </w:r>
      <w:r w:rsidR="008E6DE6">
        <w:t xml:space="preserve"> účelně vynaložené a doložené náklady vzniklé v souvislosti s odstraněním neoprávněně reklamované vady.</w:t>
      </w:r>
    </w:p>
    <w:p w14:paraId="413F2C30" w14:textId="77777777"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14:paraId="2F8F00AF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1C1A0BD9" w14:textId="4CC69A96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</w:t>
      </w:r>
      <w:r w:rsidR="004C13F8">
        <w:t xml:space="preserve"> a v souladu s Pravidly pro výběr dodavatelů OP PIK</w:t>
      </w:r>
      <w:r w:rsidRPr="009530C4">
        <w:t>.</w:t>
      </w:r>
    </w:p>
    <w:p w14:paraId="2E45483E" w14:textId="7A255B15"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</w:t>
      </w:r>
      <w:r w:rsidR="004C13F8">
        <w:br/>
      </w:r>
      <w:r w:rsidRPr="00616740">
        <w:t xml:space="preserve">z ustanovení této smlouvy se smluvní strany dohodly postižené ustanovení nahradit ustanovením, které nejlépe odpovídá obsahu a účelu neplatného ustanovení. </w:t>
      </w:r>
    </w:p>
    <w:p w14:paraId="32F14625" w14:textId="43614334"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  <w:r w:rsidR="004C13F8">
        <w:t xml:space="preserve"> Nepodaří-li se případný spor smírně vyřešit, budou o sporech rozhodovat místně příslušné </w:t>
      </w:r>
      <w:r w:rsidR="00584043">
        <w:t>soudy České republiky podle práva České republiky s výhradou kolizních norem.</w:t>
      </w:r>
    </w:p>
    <w:p w14:paraId="6D1CC830" w14:textId="77777777"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kupujícím v rámci předložené nabídky prodávajícího ve výběrovém řízení</w:t>
      </w:r>
      <w:r w:rsidRPr="009530C4">
        <w:t>.</w:t>
      </w:r>
    </w:p>
    <w:p w14:paraId="0438D5F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14:paraId="137560BD" w14:textId="77777777"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>Technická specifikace předmětu plnění</w:t>
      </w:r>
    </w:p>
    <w:p w14:paraId="190CFDBE" w14:textId="45A5CC3B" w:rsidR="00255210" w:rsidRPr="009530C4" w:rsidRDefault="00255210" w:rsidP="00584043">
      <w:pPr>
        <w:tabs>
          <w:tab w:val="left" w:pos="4962"/>
        </w:tabs>
        <w:spacing w:before="240" w:after="120"/>
        <w:jc w:val="both"/>
      </w:pPr>
      <w:r>
        <w:t xml:space="preserve">V </w:t>
      </w:r>
      <w:r w:rsidR="00584043">
        <w:t>Brně dne ___________</w:t>
      </w:r>
      <w:r w:rsidR="00584043">
        <w:tab/>
      </w:r>
      <w:r>
        <w:t>V ___________________ dne ___________</w:t>
      </w:r>
    </w:p>
    <w:p w14:paraId="226F15A7" w14:textId="77777777" w:rsidR="00255210" w:rsidRDefault="00255210" w:rsidP="00584043">
      <w:pPr>
        <w:tabs>
          <w:tab w:val="left" w:pos="4962"/>
        </w:tabs>
        <w:spacing w:after="120"/>
        <w:jc w:val="both"/>
      </w:pPr>
    </w:p>
    <w:p w14:paraId="1A9E60EA" w14:textId="0498D73E" w:rsidR="00255210" w:rsidRDefault="00255210" w:rsidP="00584043">
      <w:pPr>
        <w:tabs>
          <w:tab w:val="left" w:pos="4962"/>
        </w:tabs>
        <w:spacing w:after="0"/>
        <w:jc w:val="both"/>
      </w:pPr>
      <w:r>
        <w:t>___________________________</w:t>
      </w:r>
      <w:r>
        <w:tab/>
        <w:t>__________________________</w:t>
      </w:r>
    </w:p>
    <w:p w14:paraId="48F8C228" w14:textId="12E13682" w:rsidR="00255210" w:rsidRDefault="00584043" w:rsidP="00584043">
      <w:pPr>
        <w:tabs>
          <w:tab w:val="left" w:pos="4962"/>
        </w:tabs>
        <w:spacing w:after="120"/>
        <w:jc w:val="both"/>
        <w:rPr>
          <w:i/>
        </w:rPr>
      </w:pPr>
      <w:r>
        <w:t xml:space="preserve">Michal </w:t>
      </w:r>
      <w:proofErr w:type="spellStart"/>
      <w:r>
        <w:t>Rampl</w:t>
      </w:r>
      <w:proofErr w:type="spellEnd"/>
      <w:r w:rsidR="00255210">
        <w:tab/>
      </w:r>
      <w:r w:rsidRPr="002F5624">
        <w:rPr>
          <w:i/>
          <w:highlight w:val="yellow"/>
        </w:rPr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5A65185" w14:textId="77777777" w:rsidR="002408B0" w:rsidRDefault="002408B0" w:rsidP="00584043">
      <w:pPr>
        <w:tabs>
          <w:tab w:val="left" w:pos="4962"/>
        </w:tabs>
        <w:spacing w:after="120"/>
        <w:jc w:val="both"/>
        <w:sectPr w:rsidR="002408B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3D4782" w14:textId="77777777"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>Příloha č. 1 – Technická specifikace předmětu plnění</w:t>
      </w:r>
    </w:p>
    <w:p w14:paraId="6BED0AEF" w14:textId="77777777" w:rsidR="009D6233" w:rsidRPr="0083141D" w:rsidRDefault="0083141D" w:rsidP="0083141D">
      <w:pPr>
        <w:spacing w:before="240" w:after="120"/>
        <w:jc w:val="both"/>
        <w:rPr>
          <w:b/>
          <w:u w:val="single"/>
        </w:rPr>
      </w:pPr>
      <w:r w:rsidRPr="0083141D">
        <w:rPr>
          <w:b/>
          <w:u w:val="single"/>
        </w:rPr>
        <w:t>Minimální požadované technické parametry:</w:t>
      </w:r>
    </w:p>
    <w:p w14:paraId="7FC96250" w14:textId="45F7324E" w:rsidR="005716BA" w:rsidRDefault="00584043" w:rsidP="005716B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Vstřikovací stroj: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56"/>
        <w:gridCol w:w="4406"/>
      </w:tblGrid>
      <w:tr w:rsidR="00584043" w:rsidRPr="00CA28B8" w14:paraId="5C1A796C" w14:textId="77777777" w:rsidTr="00E225B1">
        <w:tc>
          <w:tcPr>
            <w:tcW w:w="2569" w:type="pct"/>
            <w:shd w:val="clear" w:color="auto" w:fill="D9D9D9" w:themeFill="background1" w:themeFillShade="D9"/>
          </w:tcPr>
          <w:p w14:paraId="00D4E0FA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431" w:type="pct"/>
            <w:shd w:val="clear" w:color="auto" w:fill="D9D9D9" w:themeFill="background1" w:themeFillShade="D9"/>
          </w:tcPr>
          <w:p w14:paraId="01C77685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0A62B7" w:rsidRPr="006E351C" w14:paraId="014DEC4A" w14:textId="77777777" w:rsidTr="00E225B1">
        <w:tc>
          <w:tcPr>
            <w:tcW w:w="2569" w:type="pct"/>
          </w:tcPr>
          <w:p w14:paraId="5EC3E42D" w14:textId="6B3AE3E1" w:rsidR="000A62B7" w:rsidRPr="006E351C" w:rsidRDefault="000A62B7" w:rsidP="000A62B7">
            <w:pPr>
              <w:jc w:val="both"/>
            </w:pPr>
            <w:r>
              <w:t xml:space="preserve">Elektrický </w:t>
            </w:r>
            <w:proofErr w:type="spellStart"/>
            <w:r>
              <w:t>vstřikolis</w:t>
            </w:r>
            <w:proofErr w:type="spellEnd"/>
            <w:r>
              <w:t xml:space="preserve"> s uzavírací silou</w:t>
            </w:r>
          </w:p>
        </w:tc>
        <w:tc>
          <w:tcPr>
            <w:tcW w:w="2431" w:type="pct"/>
          </w:tcPr>
          <w:p w14:paraId="1C1589A3" w14:textId="4D45152A" w:rsidR="000A62B7" w:rsidRPr="006E351C" w:rsidRDefault="000A62B7" w:rsidP="000A62B7">
            <w:pPr>
              <w:jc w:val="both"/>
            </w:pPr>
            <w:r>
              <w:t xml:space="preserve">100 – 110 t (1000 – 1100 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</w:tr>
      <w:tr w:rsidR="000A62B7" w14:paraId="77439D66" w14:textId="77777777" w:rsidTr="00E225B1">
        <w:tc>
          <w:tcPr>
            <w:tcW w:w="2569" w:type="pct"/>
          </w:tcPr>
          <w:p w14:paraId="256E7D98" w14:textId="6E49D1C8" w:rsidR="000A62B7" w:rsidRDefault="000A62B7" w:rsidP="000A62B7">
            <w:pPr>
              <w:jc w:val="both"/>
            </w:pPr>
            <w:r>
              <w:t>Elektrické uzavírání formy</w:t>
            </w:r>
          </w:p>
        </w:tc>
        <w:tc>
          <w:tcPr>
            <w:tcW w:w="2431" w:type="pct"/>
          </w:tcPr>
          <w:p w14:paraId="1AD4F83B" w14:textId="2101EA95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016BBB22" w14:textId="77777777" w:rsidTr="00E225B1">
        <w:tc>
          <w:tcPr>
            <w:tcW w:w="2569" w:type="pct"/>
          </w:tcPr>
          <w:p w14:paraId="77FA4FD2" w14:textId="61911298" w:rsidR="000A62B7" w:rsidRDefault="000A62B7" w:rsidP="000A62B7">
            <w:pPr>
              <w:jc w:val="both"/>
            </w:pPr>
            <w:r>
              <w:t>Elektrický pohon vyrážeče</w:t>
            </w:r>
          </w:p>
        </w:tc>
        <w:tc>
          <w:tcPr>
            <w:tcW w:w="2431" w:type="pct"/>
          </w:tcPr>
          <w:p w14:paraId="58D513F6" w14:textId="15834177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4BA0B467" w14:textId="77777777" w:rsidTr="00E225B1">
        <w:tc>
          <w:tcPr>
            <w:tcW w:w="2569" w:type="pct"/>
          </w:tcPr>
          <w:p w14:paraId="1CF6B702" w14:textId="67732973" w:rsidR="000A62B7" w:rsidRDefault="000A62B7" w:rsidP="000A62B7">
            <w:pPr>
              <w:jc w:val="both"/>
            </w:pPr>
            <w:r>
              <w:t>Výška formy</w:t>
            </w:r>
          </w:p>
        </w:tc>
        <w:tc>
          <w:tcPr>
            <w:tcW w:w="2431" w:type="pct"/>
          </w:tcPr>
          <w:p w14:paraId="3FD78F49" w14:textId="480A1BF6" w:rsidR="000A62B7" w:rsidRDefault="000A62B7" w:rsidP="000A62B7">
            <w:pPr>
              <w:jc w:val="both"/>
            </w:pPr>
            <w:r>
              <w:t>min. do 180 mm (možnost upnutí formy 180 mm a menší)</w:t>
            </w:r>
          </w:p>
        </w:tc>
      </w:tr>
      <w:tr w:rsidR="000A62B7" w14:paraId="45D2294C" w14:textId="77777777" w:rsidTr="00E225B1">
        <w:tc>
          <w:tcPr>
            <w:tcW w:w="2569" w:type="pct"/>
          </w:tcPr>
          <w:p w14:paraId="6F35C382" w14:textId="46DF7785" w:rsidR="000A62B7" w:rsidRDefault="000A62B7" w:rsidP="000A62B7">
            <w:pPr>
              <w:jc w:val="both"/>
            </w:pPr>
            <w:r>
              <w:t>Maximální hmotnost dávky (referenční materiál polystyren)</w:t>
            </w:r>
          </w:p>
        </w:tc>
        <w:tc>
          <w:tcPr>
            <w:tcW w:w="2431" w:type="pct"/>
          </w:tcPr>
          <w:p w14:paraId="7C9A483C" w14:textId="05F90A47" w:rsidR="000A62B7" w:rsidRDefault="000A62B7" w:rsidP="000A62B7">
            <w:pPr>
              <w:jc w:val="both"/>
            </w:pPr>
            <w:r>
              <w:t>115 – 125 g</w:t>
            </w:r>
          </w:p>
        </w:tc>
      </w:tr>
      <w:tr w:rsidR="000A62B7" w14:paraId="325C2C6A" w14:textId="77777777" w:rsidTr="00E225B1">
        <w:tc>
          <w:tcPr>
            <w:tcW w:w="2569" w:type="pct"/>
          </w:tcPr>
          <w:p w14:paraId="2A871A0F" w14:textId="3E0BFAEB" w:rsidR="000A62B7" w:rsidRDefault="000A62B7" w:rsidP="000A62B7">
            <w:pPr>
              <w:jc w:val="both"/>
            </w:pPr>
            <w:r>
              <w:t>Maximální vstřikovací rychlost (polystyren)</w:t>
            </w:r>
          </w:p>
        </w:tc>
        <w:tc>
          <w:tcPr>
            <w:tcW w:w="2431" w:type="pct"/>
          </w:tcPr>
          <w:p w14:paraId="1BFF75F0" w14:textId="6CA5DAE4" w:rsidR="000A62B7" w:rsidRDefault="000A62B7" w:rsidP="000A62B7">
            <w:pPr>
              <w:jc w:val="both"/>
            </w:pPr>
            <w:r>
              <w:t>190 ccm/s</w:t>
            </w:r>
          </w:p>
        </w:tc>
      </w:tr>
      <w:tr w:rsidR="000A62B7" w14:paraId="6A3007F2" w14:textId="77777777" w:rsidTr="00E225B1">
        <w:tc>
          <w:tcPr>
            <w:tcW w:w="2569" w:type="pct"/>
          </w:tcPr>
          <w:p w14:paraId="1520A924" w14:textId="31CB4EA5" w:rsidR="000A62B7" w:rsidRDefault="000A62B7" w:rsidP="000A62B7">
            <w:pPr>
              <w:jc w:val="both"/>
            </w:pPr>
            <w:r>
              <w:t>Maximální vstřikovací tlak</w:t>
            </w:r>
          </w:p>
        </w:tc>
        <w:tc>
          <w:tcPr>
            <w:tcW w:w="2431" w:type="pct"/>
          </w:tcPr>
          <w:p w14:paraId="21057A42" w14:textId="5F94E67B" w:rsidR="000A62B7" w:rsidRDefault="000A62B7" w:rsidP="000A62B7">
            <w:pPr>
              <w:jc w:val="both"/>
            </w:pPr>
            <w:r>
              <w:t>min. 1800 bar</w:t>
            </w:r>
          </w:p>
        </w:tc>
      </w:tr>
      <w:tr w:rsidR="000A62B7" w14:paraId="706EED64" w14:textId="77777777" w:rsidTr="00E225B1">
        <w:tc>
          <w:tcPr>
            <w:tcW w:w="2569" w:type="pct"/>
          </w:tcPr>
          <w:p w14:paraId="4FADC42D" w14:textId="6E5AF504" w:rsidR="000A62B7" w:rsidRDefault="000A62B7" w:rsidP="000A62B7">
            <w:pPr>
              <w:jc w:val="both"/>
            </w:pPr>
            <w:r>
              <w:t>Plastifikační výkon</w:t>
            </w:r>
          </w:p>
        </w:tc>
        <w:tc>
          <w:tcPr>
            <w:tcW w:w="2431" w:type="pct"/>
          </w:tcPr>
          <w:p w14:paraId="584BD673" w14:textId="32768FB8" w:rsidR="000A62B7" w:rsidRDefault="000A62B7" w:rsidP="000A62B7">
            <w:pPr>
              <w:jc w:val="both"/>
            </w:pPr>
            <w:r>
              <w:t>min. 22 g/s</w:t>
            </w:r>
          </w:p>
        </w:tc>
      </w:tr>
      <w:tr w:rsidR="000A62B7" w14:paraId="5F76532D" w14:textId="77777777" w:rsidTr="00E225B1">
        <w:tc>
          <w:tcPr>
            <w:tcW w:w="2569" w:type="pct"/>
          </w:tcPr>
          <w:p w14:paraId="6A95F994" w14:textId="097443AA" w:rsidR="000A62B7" w:rsidRDefault="000A62B7" w:rsidP="000A62B7">
            <w:pPr>
              <w:jc w:val="both"/>
            </w:pPr>
            <w:r>
              <w:t>Zavírání formy</w:t>
            </w:r>
          </w:p>
        </w:tc>
        <w:tc>
          <w:tcPr>
            <w:tcW w:w="2431" w:type="pct"/>
          </w:tcPr>
          <w:p w14:paraId="1694A478" w14:textId="4C547E9D" w:rsidR="000A62B7" w:rsidRDefault="000A62B7" w:rsidP="000A62B7">
            <w:pPr>
              <w:jc w:val="both"/>
            </w:pPr>
            <w:r>
              <w:t>min. 5 stupňové</w:t>
            </w:r>
          </w:p>
        </w:tc>
      </w:tr>
      <w:tr w:rsidR="000A62B7" w14:paraId="7CCFF68B" w14:textId="77777777" w:rsidTr="00E225B1">
        <w:tc>
          <w:tcPr>
            <w:tcW w:w="2569" w:type="pct"/>
          </w:tcPr>
          <w:p w14:paraId="5961DF68" w14:textId="608A2D2B" w:rsidR="000A62B7" w:rsidRDefault="000A62B7" w:rsidP="000A62B7">
            <w:pPr>
              <w:jc w:val="both"/>
            </w:pPr>
            <w:r>
              <w:t>Otevírání formy</w:t>
            </w:r>
          </w:p>
        </w:tc>
        <w:tc>
          <w:tcPr>
            <w:tcW w:w="2431" w:type="pct"/>
          </w:tcPr>
          <w:p w14:paraId="1AC46E80" w14:textId="2FF3A62F" w:rsidR="000A62B7" w:rsidRDefault="000A62B7" w:rsidP="000A62B7">
            <w:pPr>
              <w:jc w:val="both"/>
            </w:pPr>
            <w:r>
              <w:t>min. 4 stupňové</w:t>
            </w:r>
          </w:p>
        </w:tc>
      </w:tr>
      <w:tr w:rsidR="000A62B7" w14:paraId="23AB55F4" w14:textId="77777777" w:rsidTr="00E225B1">
        <w:tc>
          <w:tcPr>
            <w:tcW w:w="2569" w:type="pct"/>
          </w:tcPr>
          <w:p w14:paraId="51322EBA" w14:textId="313B3191" w:rsidR="000A62B7" w:rsidRDefault="000A62B7" w:rsidP="000A62B7">
            <w:pPr>
              <w:jc w:val="both"/>
            </w:pPr>
            <w:r>
              <w:t>Automatické přestavení výšky formy</w:t>
            </w:r>
          </w:p>
        </w:tc>
        <w:tc>
          <w:tcPr>
            <w:tcW w:w="2431" w:type="pct"/>
          </w:tcPr>
          <w:p w14:paraId="0D3775B5" w14:textId="46E94F02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5ED02D6A" w14:textId="77777777" w:rsidTr="00E225B1">
        <w:tc>
          <w:tcPr>
            <w:tcW w:w="2569" w:type="pct"/>
          </w:tcPr>
          <w:p w14:paraId="7F0D4A21" w14:textId="7F88D691" w:rsidR="000A62B7" w:rsidRDefault="000A62B7" w:rsidP="000A62B7">
            <w:pPr>
              <w:jc w:val="both"/>
            </w:pPr>
            <w:r>
              <w:t>Aktivní ochrana formy pomocí senzoru, zavírání formy; hlídání pomocí křivky</w:t>
            </w:r>
          </w:p>
        </w:tc>
        <w:tc>
          <w:tcPr>
            <w:tcW w:w="2431" w:type="pct"/>
          </w:tcPr>
          <w:p w14:paraId="3BE1C1AF" w14:textId="3F9C6685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318275A3" w14:textId="77777777" w:rsidTr="00E225B1">
        <w:tc>
          <w:tcPr>
            <w:tcW w:w="2569" w:type="pct"/>
          </w:tcPr>
          <w:p w14:paraId="736B295A" w14:textId="6E15E13E" w:rsidR="000A62B7" w:rsidRDefault="000A62B7" w:rsidP="000A62B7">
            <w:pPr>
              <w:jc w:val="both"/>
            </w:pPr>
            <w:r>
              <w:t>Programovatelný přítlak trysky nastavitelný na ovládacím panelu; plně programovatelný</w:t>
            </w:r>
          </w:p>
        </w:tc>
        <w:tc>
          <w:tcPr>
            <w:tcW w:w="2431" w:type="pct"/>
          </w:tcPr>
          <w:p w14:paraId="711E4679" w14:textId="586EFB10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6AE49683" w14:textId="77777777" w:rsidTr="00E225B1">
        <w:tc>
          <w:tcPr>
            <w:tcW w:w="2569" w:type="pct"/>
          </w:tcPr>
          <w:p w14:paraId="74E7B46B" w14:textId="34A27240" w:rsidR="000A62B7" w:rsidRDefault="000A62B7" w:rsidP="000A62B7">
            <w:pPr>
              <w:jc w:val="both"/>
            </w:pPr>
            <w:r>
              <w:t>Zbytkový přítlak trysky nastavitelný na ovládacím panelu; plně programovatelný</w:t>
            </w:r>
          </w:p>
        </w:tc>
        <w:tc>
          <w:tcPr>
            <w:tcW w:w="2431" w:type="pct"/>
          </w:tcPr>
          <w:p w14:paraId="780174A3" w14:textId="5705C822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2BFF423E" w14:textId="77777777" w:rsidTr="00E225B1">
        <w:tc>
          <w:tcPr>
            <w:tcW w:w="2569" w:type="pct"/>
          </w:tcPr>
          <w:p w14:paraId="5E6EFED2" w14:textId="13DB93C0" w:rsidR="000A62B7" w:rsidRDefault="000A62B7" w:rsidP="000A62B7">
            <w:pPr>
              <w:jc w:val="both"/>
            </w:pPr>
            <w:r>
              <w:t>Suché cykly bez vytápění plastifikačního válce. Aktivace programovým spínačem.</w:t>
            </w:r>
          </w:p>
        </w:tc>
        <w:tc>
          <w:tcPr>
            <w:tcW w:w="2431" w:type="pct"/>
          </w:tcPr>
          <w:p w14:paraId="6332B965" w14:textId="69BFE698" w:rsidR="000A62B7" w:rsidRDefault="000A62B7" w:rsidP="000A62B7">
            <w:pPr>
              <w:jc w:val="both"/>
            </w:pPr>
            <w:r>
              <w:t>ano</w:t>
            </w:r>
          </w:p>
        </w:tc>
      </w:tr>
      <w:tr w:rsidR="000A62B7" w14:paraId="236D507A" w14:textId="77777777" w:rsidTr="00E225B1">
        <w:tc>
          <w:tcPr>
            <w:tcW w:w="2569" w:type="pct"/>
          </w:tcPr>
          <w:p w14:paraId="7A9D033C" w14:textId="01FE37C1" w:rsidR="000A62B7" w:rsidRDefault="000A62B7" w:rsidP="000A62B7">
            <w:pPr>
              <w:jc w:val="both"/>
            </w:pPr>
            <w:r>
              <w:t>Šnek a komora – pancéřované provedení, pro použití materiálů se skelným vláknem; RSP – provedení vysoce odolné proti opotřebení, L/D standard, do GF 30%</w:t>
            </w:r>
          </w:p>
        </w:tc>
        <w:tc>
          <w:tcPr>
            <w:tcW w:w="2431" w:type="pct"/>
          </w:tcPr>
          <w:p w14:paraId="74921645" w14:textId="10AD951F" w:rsidR="000A62B7" w:rsidRDefault="000A62B7" w:rsidP="000A62B7">
            <w:pPr>
              <w:jc w:val="both"/>
            </w:pPr>
            <w:r>
              <w:t>ano</w:t>
            </w:r>
          </w:p>
        </w:tc>
      </w:tr>
    </w:tbl>
    <w:p w14:paraId="3D9F7FD4" w14:textId="77777777" w:rsidR="00584043" w:rsidRDefault="00584043" w:rsidP="005716BA">
      <w:pPr>
        <w:spacing w:after="120"/>
        <w:jc w:val="both"/>
        <w:rPr>
          <w:b/>
          <w:u w:val="single"/>
        </w:rPr>
      </w:pPr>
    </w:p>
    <w:p w14:paraId="791FFA1C" w14:textId="77777777" w:rsidR="0083141D" w:rsidRPr="0083141D" w:rsidRDefault="0083141D" w:rsidP="005716BA">
      <w:pPr>
        <w:spacing w:before="360" w:after="0"/>
        <w:rPr>
          <w:b/>
          <w:u w:val="single"/>
        </w:rPr>
      </w:pPr>
      <w:r w:rsidRPr="0083141D">
        <w:rPr>
          <w:b/>
          <w:u w:val="single"/>
        </w:rPr>
        <w:t>Skutečné technické parametry zboží:</w:t>
      </w:r>
    </w:p>
    <w:p w14:paraId="5ACAFCBB" w14:textId="77777777" w:rsidR="005716BA" w:rsidRDefault="005716BA" w:rsidP="0083141D">
      <w:pPr>
        <w:spacing w:after="0"/>
        <w:rPr>
          <w:highlight w:val="yellow"/>
        </w:rPr>
      </w:pPr>
    </w:p>
    <w:p w14:paraId="350A8B46" w14:textId="3751A830" w:rsidR="0083141D" w:rsidRDefault="00584043" w:rsidP="0083141D">
      <w:pPr>
        <w:spacing w:after="0"/>
      </w:pPr>
      <w:r w:rsidRPr="0083141D">
        <w:rPr>
          <w:highlight w:val="yellow"/>
        </w:rPr>
        <w:t xml:space="preserve"> </w:t>
      </w:r>
      <w:r w:rsidR="0083141D" w:rsidRPr="0083141D">
        <w:rPr>
          <w:highlight w:val="yellow"/>
        </w:rPr>
        <w:t>[</w:t>
      </w:r>
      <w:r w:rsidR="002A0B41" w:rsidRPr="002A0B41">
        <w:rPr>
          <w:highlight w:val="yellow"/>
        </w:rPr>
        <w:t>doplní účastník</w:t>
      </w:r>
      <w:r w:rsidR="002A0B41">
        <w:rPr>
          <w:i/>
          <w:highlight w:val="yellow"/>
        </w:rPr>
        <w:t xml:space="preserve"> </w:t>
      </w:r>
      <w:r w:rsidR="006B17B2">
        <w:rPr>
          <w:highlight w:val="yellow"/>
        </w:rPr>
        <w:t>– alespoň typové označení stroje a název výrobce stroje</w:t>
      </w:r>
      <w:r w:rsidR="0083141D" w:rsidRPr="0083141D">
        <w:rPr>
          <w:highlight w:val="yellow"/>
        </w:rPr>
        <w:t>]</w:t>
      </w:r>
    </w:p>
    <w:sectPr w:rsidR="0083141D" w:rsidSect="002408B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2017" w14:textId="77777777" w:rsidR="00EC0395" w:rsidRDefault="00EC0395" w:rsidP="00F839EB">
      <w:pPr>
        <w:spacing w:after="0" w:line="240" w:lineRule="auto"/>
      </w:pPr>
      <w:r>
        <w:separator/>
      </w:r>
    </w:p>
  </w:endnote>
  <w:endnote w:type="continuationSeparator" w:id="0">
    <w:p w14:paraId="7F2312EF" w14:textId="77777777" w:rsidR="00EC0395" w:rsidRDefault="00EC0395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98964"/>
      <w:docPartObj>
        <w:docPartGallery w:val="Page Numbers (Bottom of Page)"/>
        <w:docPartUnique/>
      </w:docPartObj>
    </w:sdtPr>
    <w:sdtEndPr/>
    <w:sdtContent>
      <w:p w14:paraId="3411CBAB" w14:textId="720882A4" w:rsidR="00F839EB" w:rsidRDefault="00EC0395" w:rsidP="002408B0">
        <w:pPr>
          <w:pStyle w:val="Zpat"/>
          <w:jc w:val="center"/>
        </w:pPr>
        <w:sdt>
          <w:sdtPr>
            <w:id w:val="290172130"/>
            <w:docPartObj>
              <w:docPartGallery w:val="Page Numbers (Bottom of Page)"/>
              <w:docPartUnique/>
            </w:docPartObj>
          </w:sdtPr>
          <w:sdtEndPr/>
          <w:sdtContent>
            <w:r w:rsidR="002408B0">
              <w:fldChar w:fldCharType="begin"/>
            </w:r>
            <w:r w:rsidR="002408B0">
              <w:instrText>PAGE   \* MERGEFORMAT</w:instrText>
            </w:r>
            <w:r w:rsidR="002408B0">
              <w:fldChar w:fldCharType="separate"/>
            </w:r>
            <w:r w:rsidR="00A17D9D">
              <w:rPr>
                <w:noProof/>
              </w:rPr>
              <w:t>1</w:t>
            </w:r>
            <w:r w:rsidR="002408B0">
              <w:fldChar w:fldCharType="end"/>
            </w:r>
          </w:sdtContent>
        </w:sdt>
        <w:r w:rsidR="002408B0">
          <w:t>/</w:t>
        </w:r>
        <w:r>
          <w:fldChar w:fldCharType="begin"/>
        </w:r>
        <w:r>
          <w:instrText xml:space="preserve"> SECTIONPAGES   \* MERGEFORMAT </w:instrText>
        </w:r>
        <w:r>
          <w:fldChar w:fldCharType="separate"/>
        </w:r>
        <w:r w:rsidR="00A17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333E" w14:textId="77777777" w:rsidR="00EC0395" w:rsidRDefault="00EC0395" w:rsidP="00F839EB">
      <w:pPr>
        <w:spacing w:after="0" w:line="240" w:lineRule="auto"/>
      </w:pPr>
      <w:r>
        <w:separator/>
      </w:r>
    </w:p>
  </w:footnote>
  <w:footnote w:type="continuationSeparator" w:id="0">
    <w:p w14:paraId="00A3F2A1" w14:textId="77777777" w:rsidR="00EC0395" w:rsidRDefault="00EC0395" w:rsidP="00F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B7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B32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44A"/>
    <w:rsid w:val="00225D29"/>
    <w:rsid w:val="00226848"/>
    <w:rsid w:val="00227588"/>
    <w:rsid w:val="00236D61"/>
    <w:rsid w:val="002374D0"/>
    <w:rsid w:val="00237651"/>
    <w:rsid w:val="002377EB"/>
    <w:rsid w:val="002408B0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B41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72A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4167"/>
    <w:rsid w:val="00364A6E"/>
    <w:rsid w:val="0036592A"/>
    <w:rsid w:val="0036741C"/>
    <w:rsid w:val="00370C9B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40B6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13F8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4043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B6DDE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17B2"/>
    <w:rsid w:val="006B2F54"/>
    <w:rsid w:val="006B3218"/>
    <w:rsid w:val="006C0458"/>
    <w:rsid w:val="006C0C2D"/>
    <w:rsid w:val="006C1177"/>
    <w:rsid w:val="006C21CE"/>
    <w:rsid w:val="006C6231"/>
    <w:rsid w:val="006C6930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7007D5"/>
    <w:rsid w:val="00702975"/>
    <w:rsid w:val="0070368C"/>
    <w:rsid w:val="0070419A"/>
    <w:rsid w:val="00710F33"/>
    <w:rsid w:val="00711D38"/>
    <w:rsid w:val="00714E8E"/>
    <w:rsid w:val="00721D4D"/>
    <w:rsid w:val="007241B5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310A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56CA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64A"/>
    <w:rsid w:val="00987BF5"/>
    <w:rsid w:val="00992445"/>
    <w:rsid w:val="00992B2D"/>
    <w:rsid w:val="00993750"/>
    <w:rsid w:val="00993A44"/>
    <w:rsid w:val="00997649"/>
    <w:rsid w:val="009A2141"/>
    <w:rsid w:val="009B1E78"/>
    <w:rsid w:val="009B6626"/>
    <w:rsid w:val="009B6E4B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17D9D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C03A8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E75"/>
    <w:rsid w:val="00B02FC8"/>
    <w:rsid w:val="00B04508"/>
    <w:rsid w:val="00B05059"/>
    <w:rsid w:val="00B11303"/>
    <w:rsid w:val="00B13782"/>
    <w:rsid w:val="00B14AE4"/>
    <w:rsid w:val="00B20AB6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23B9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6F69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30"/>
    <w:rsid w:val="00CB22AD"/>
    <w:rsid w:val="00CB2D29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1DB9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25B1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597C"/>
    <w:rsid w:val="00EB6F72"/>
    <w:rsid w:val="00EC0395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EF535A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56738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F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Odkaznakoment">
    <w:name w:val="annotation reference"/>
    <w:basedOn w:val="Standardnpsmoodstavce"/>
    <w:uiPriority w:val="99"/>
    <w:semiHidden/>
    <w:unhideWhenUsed/>
    <w:rsid w:val="002D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A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0AFD-01AF-41A1-A0A0-A58BBE68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2017-11-29T09:29:00Z</dcterms:created>
  <dcterms:modified xsi:type="dcterms:W3CDTF">2017-11-29T09:33:00Z</dcterms:modified>
</cp:coreProperties>
</file>