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AA07" w14:textId="3140CF31" w:rsidR="0045541D" w:rsidRPr="008F60DD" w:rsidRDefault="0045541D" w:rsidP="00217EAB">
      <w:pPr>
        <w:ind w:left="68"/>
        <w:outlineLvl w:val="0"/>
        <w:rPr>
          <w:rFonts w:ascii="Century Gothic" w:hAnsi="Century Gothic"/>
          <w:sz w:val="22"/>
          <w:szCs w:val="22"/>
        </w:rPr>
      </w:pPr>
      <w:bookmarkStart w:id="0" w:name="_Toc462400236"/>
      <w:r w:rsidRPr="008F60DD">
        <w:rPr>
          <w:rStyle w:val="Siln"/>
          <w:rFonts w:ascii="Century Gothic" w:hAnsi="Century Gothic"/>
          <w:sz w:val="22"/>
          <w:szCs w:val="22"/>
        </w:rPr>
        <w:t>Příloha č.</w:t>
      </w:r>
      <w:r w:rsidR="00217EAB" w:rsidRPr="008F60DD">
        <w:rPr>
          <w:rStyle w:val="Siln"/>
          <w:rFonts w:ascii="Century Gothic" w:hAnsi="Century Gothic"/>
          <w:sz w:val="22"/>
          <w:szCs w:val="22"/>
        </w:rPr>
        <w:t xml:space="preserve"> 5</w:t>
      </w:r>
      <w:bookmarkEnd w:id="0"/>
    </w:p>
    <w:p w14:paraId="386F78CE" w14:textId="77777777" w:rsidR="009449C0" w:rsidRPr="008F60DD" w:rsidRDefault="009449C0" w:rsidP="009E5D4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p w14:paraId="277A3B66" w14:textId="77777777" w:rsidR="005D70F6" w:rsidRPr="008F60DD" w:rsidRDefault="005D70F6" w:rsidP="009E5D47">
      <w:pPr>
        <w:jc w:val="both"/>
        <w:rPr>
          <w:rFonts w:ascii="Century Gothic" w:hAnsi="Century Gothic" w:cs="Calibri"/>
          <w:b/>
          <w:sz w:val="22"/>
          <w:szCs w:val="22"/>
        </w:rPr>
      </w:pPr>
    </w:p>
    <w:p w14:paraId="17457340" w14:textId="77777777" w:rsidR="00DB7EF8" w:rsidRPr="008F60DD" w:rsidRDefault="00DB7EF8" w:rsidP="009E5D47">
      <w:pPr>
        <w:jc w:val="center"/>
        <w:rPr>
          <w:rFonts w:ascii="Century Gothic" w:hAnsi="Century Gothic" w:cs="Calibri"/>
          <w:b/>
          <w:sz w:val="22"/>
          <w:szCs w:val="22"/>
        </w:rPr>
      </w:pPr>
      <w:r w:rsidRPr="008F60DD">
        <w:rPr>
          <w:rFonts w:ascii="Century Gothic" w:hAnsi="Century Gothic" w:cs="Calibri"/>
          <w:b/>
          <w:sz w:val="22"/>
          <w:szCs w:val="22"/>
        </w:rPr>
        <w:t>KUPNÍ SMLOUVA</w:t>
      </w:r>
    </w:p>
    <w:p w14:paraId="5E6324C2" w14:textId="77777777" w:rsidR="00DB7EF8" w:rsidRPr="008F60DD" w:rsidRDefault="00DB7EF8" w:rsidP="00255C28">
      <w:pPr>
        <w:jc w:val="center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uzavřená podle § 2079 a násl. občanského zákoníku</w:t>
      </w:r>
    </w:p>
    <w:p w14:paraId="1C85FD65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</w:p>
    <w:p w14:paraId="5B56DA24" w14:textId="77777777" w:rsidR="00B03B4C" w:rsidRPr="008F60DD" w:rsidRDefault="00B03B4C" w:rsidP="009E5D47">
      <w:pPr>
        <w:jc w:val="both"/>
        <w:rPr>
          <w:rFonts w:ascii="Century Gothic" w:hAnsi="Century Gothic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0DD" w:rsidRPr="008F60DD" w14:paraId="1BFA5870" w14:textId="77777777" w:rsidTr="005D70F6">
        <w:tc>
          <w:tcPr>
            <w:tcW w:w="4605" w:type="dxa"/>
            <w:shd w:val="clear" w:color="auto" w:fill="auto"/>
          </w:tcPr>
          <w:p w14:paraId="2DFB77BD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Kupující:</w:t>
            </w:r>
          </w:p>
        </w:tc>
        <w:tc>
          <w:tcPr>
            <w:tcW w:w="4605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32D4D47" w14:textId="77777777" w:rsidR="00DB7EF8" w:rsidRPr="008F60DD" w:rsidRDefault="00DB7EF8" w:rsidP="0080450A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b/>
                <w:sz w:val="22"/>
                <w:szCs w:val="22"/>
              </w:rPr>
              <w:t>Contipro a.</w:t>
            </w:r>
            <w:r w:rsidR="0080450A" w:rsidRPr="008F60DD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Pr="008F60DD">
              <w:rPr>
                <w:rFonts w:ascii="Century Gothic" w:hAnsi="Century Gothic" w:cs="Calibri"/>
                <w:b/>
                <w:sz w:val="22"/>
                <w:szCs w:val="22"/>
              </w:rPr>
              <w:t>s.</w:t>
            </w:r>
          </w:p>
        </w:tc>
      </w:tr>
      <w:tr w:rsidR="008F60DD" w:rsidRPr="008F60DD" w14:paraId="3D23DB33" w14:textId="77777777" w:rsidTr="005D70F6">
        <w:tc>
          <w:tcPr>
            <w:tcW w:w="4605" w:type="dxa"/>
            <w:shd w:val="clear" w:color="auto" w:fill="auto"/>
          </w:tcPr>
          <w:p w14:paraId="6E1F8AA4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 xml:space="preserve">se sídlem: </w:t>
            </w:r>
          </w:p>
        </w:tc>
        <w:tc>
          <w:tcPr>
            <w:tcW w:w="4605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B169A22" w14:textId="77777777" w:rsidR="00DB7EF8" w:rsidRPr="008F60DD" w:rsidRDefault="00DB7EF8" w:rsidP="0080450A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 xml:space="preserve">Dolní Dobrouč 401, </w:t>
            </w:r>
            <w:r w:rsidR="0080450A" w:rsidRPr="008F60DD">
              <w:rPr>
                <w:rFonts w:ascii="Century Gothic" w:hAnsi="Century Gothic" w:cs="Calibri"/>
                <w:sz w:val="22"/>
                <w:szCs w:val="22"/>
              </w:rPr>
              <w:t xml:space="preserve">PSČ </w:t>
            </w:r>
            <w:r w:rsidRPr="008F60DD">
              <w:rPr>
                <w:rFonts w:ascii="Century Gothic" w:hAnsi="Century Gothic" w:cs="Calibri"/>
                <w:sz w:val="22"/>
                <w:szCs w:val="22"/>
              </w:rPr>
              <w:t xml:space="preserve">561 02 </w:t>
            </w:r>
          </w:p>
        </w:tc>
      </w:tr>
      <w:tr w:rsidR="008F60DD" w:rsidRPr="008F60DD" w14:paraId="66C46039" w14:textId="77777777" w:rsidTr="00DB7EF8">
        <w:tc>
          <w:tcPr>
            <w:tcW w:w="4605" w:type="dxa"/>
            <w:shd w:val="clear" w:color="auto" w:fill="auto"/>
          </w:tcPr>
          <w:p w14:paraId="239D0CFE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zastoupený: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B084177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doc. RNDr. Vladimír Velebný, CSc., předseda představenstva</w:t>
            </w:r>
          </w:p>
        </w:tc>
      </w:tr>
      <w:tr w:rsidR="008F60DD" w:rsidRPr="008F60DD" w14:paraId="35770E7F" w14:textId="77777777" w:rsidTr="00DB7EF8">
        <w:tc>
          <w:tcPr>
            <w:tcW w:w="4605" w:type="dxa"/>
            <w:shd w:val="clear" w:color="auto" w:fill="auto"/>
          </w:tcPr>
          <w:p w14:paraId="16AC5D6D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IČ: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D88D598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60917431</w:t>
            </w:r>
          </w:p>
        </w:tc>
      </w:tr>
      <w:tr w:rsidR="008F60DD" w:rsidRPr="008F60DD" w14:paraId="533B6971" w14:textId="77777777" w:rsidTr="00DB7EF8">
        <w:tc>
          <w:tcPr>
            <w:tcW w:w="4605" w:type="dxa"/>
            <w:shd w:val="clear" w:color="auto" w:fill="auto"/>
          </w:tcPr>
          <w:p w14:paraId="3373F5BB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DIČ: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02A6C760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CZ60917431</w:t>
            </w:r>
          </w:p>
        </w:tc>
      </w:tr>
      <w:tr w:rsidR="008F60DD" w:rsidRPr="008F60DD" w14:paraId="3736C08E" w14:textId="77777777" w:rsidTr="00DB7EF8">
        <w:tc>
          <w:tcPr>
            <w:tcW w:w="4605" w:type="dxa"/>
            <w:shd w:val="clear" w:color="auto" w:fill="auto"/>
          </w:tcPr>
          <w:p w14:paraId="2948FD67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Obchodní rejstřík: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702E31BB" w14:textId="77777777" w:rsidR="00DB7EF8" w:rsidRPr="008F60DD" w:rsidRDefault="00DB7EF8" w:rsidP="0080450A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Krajský soud v Hradci Králové</w:t>
            </w:r>
            <w:r w:rsidR="0080450A" w:rsidRPr="008F60DD">
              <w:rPr>
                <w:rFonts w:ascii="Century Gothic" w:hAnsi="Century Gothic" w:cs="Calibri"/>
                <w:sz w:val="22"/>
                <w:szCs w:val="22"/>
              </w:rPr>
              <w:t xml:space="preserve"> zn</w:t>
            </w:r>
            <w:r w:rsidRPr="008F60DD">
              <w:rPr>
                <w:rFonts w:ascii="Century Gothic" w:hAnsi="Century Gothic" w:cs="Calibri"/>
                <w:sz w:val="22"/>
                <w:szCs w:val="22"/>
              </w:rPr>
              <w:t xml:space="preserve"> B</w:t>
            </w:r>
            <w:r w:rsidR="0080450A" w:rsidRPr="008F60D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8F60DD">
              <w:rPr>
                <w:rFonts w:ascii="Century Gothic" w:hAnsi="Century Gothic" w:cs="Calibri"/>
                <w:sz w:val="22"/>
                <w:szCs w:val="22"/>
              </w:rPr>
              <w:t>1176</w:t>
            </w:r>
          </w:p>
        </w:tc>
      </w:tr>
      <w:tr w:rsidR="008F60DD" w:rsidRPr="008F60DD" w14:paraId="25646AE4" w14:textId="77777777" w:rsidTr="00DB7EF8">
        <w:tc>
          <w:tcPr>
            <w:tcW w:w="4605" w:type="dxa"/>
            <w:shd w:val="clear" w:color="auto" w:fill="auto"/>
          </w:tcPr>
          <w:p w14:paraId="4A85D789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E-mail: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0BAA7558" w14:textId="77777777" w:rsidR="00DB7EF8" w:rsidRPr="008F60DD" w:rsidRDefault="00997F1D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hyperlink r:id="rId8" w:history="1">
              <w:r w:rsidR="00DB7EF8" w:rsidRPr="008F60DD">
                <w:rPr>
                  <w:rStyle w:val="Hypertextovodkaz"/>
                  <w:rFonts w:ascii="Century Gothic" w:hAnsi="Century Gothic"/>
                  <w:color w:val="auto"/>
                  <w:sz w:val="22"/>
                  <w:szCs w:val="22"/>
                </w:rPr>
                <w:t>Jaroslav Pavlik@contipro.com</w:t>
              </w:r>
            </w:hyperlink>
            <w:r w:rsidR="00DB7EF8" w:rsidRPr="008F60DD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</w:p>
        </w:tc>
      </w:tr>
      <w:tr w:rsidR="00DB7EF8" w:rsidRPr="008F60DD" w14:paraId="3D353344" w14:textId="77777777" w:rsidTr="00DB7EF8">
        <w:tc>
          <w:tcPr>
            <w:tcW w:w="4605" w:type="dxa"/>
            <w:shd w:val="clear" w:color="auto" w:fill="auto"/>
          </w:tcPr>
          <w:p w14:paraId="18656FF7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Telefon:</w:t>
            </w:r>
          </w:p>
        </w:tc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068526FC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+420 465 51 95 40</w:t>
            </w:r>
          </w:p>
        </w:tc>
      </w:tr>
    </w:tbl>
    <w:p w14:paraId="3CFC8781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</w:p>
    <w:p w14:paraId="3EE7247F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Osoby oprávněné jednat</w:t>
      </w:r>
    </w:p>
    <w:p w14:paraId="447004A9" w14:textId="77777777" w:rsidR="00DB7EF8" w:rsidRPr="008F60DD" w:rsidRDefault="00DB7EF8" w:rsidP="0080450A">
      <w:pPr>
        <w:tabs>
          <w:tab w:val="left" w:pos="4536"/>
        </w:tabs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ve věcech technických:</w:t>
      </w:r>
      <w:r w:rsidRPr="008F60DD">
        <w:rPr>
          <w:rFonts w:ascii="Century Gothic" w:hAnsi="Century Gothic" w:cs="Calibri"/>
          <w:sz w:val="22"/>
          <w:szCs w:val="22"/>
        </w:rPr>
        <w:tab/>
        <w:t>Ing. Jaroslav Pavlík, vedoucí poloprovozu</w:t>
      </w:r>
    </w:p>
    <w:p w14:paraId="186FB026" w14:textId="77777777" w:rsidR="005D70F6" w:rsidRPr="008F60DD" w:rsidRDefault="005D70F6" w:rsidP="009E5D47">
      <w:pPr>
        <w:jc w:val="both"/>
        <w:rPr>
          <w:rFonts w:ascii="Century Gothic" w:hAnsi="Century Gothic" w:cs="Calibri"/>
          <w:sz w:val="22"/>
          <w:szCs w:val="22"/>
        </w:rPr>
      </w:pPr>
    </w:p>
    <w:p w14:paraId="0FC552BC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(dále jen „kupující“)</w:t>
      </w:r>
    </w:p>
    <w:p w14:paraId="2003C13A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</w:p>
    <w:p w14:paraId="4B189A1F" w14:textId="77777777" w:rsidR="00DB7EF8" w:rsidRPr="008F60DD" w:rsidRDefault="00DB7EF8" w:rsidP="009E5D47">
      <w:pPr>
        <w:jc w:val="both"/>
        <w:rPr>
          <w:rFonts w:ascii="Century Gothic" w:hAnsi="Century Gothic" w:cs="Calibri"/>
          <w:b/>
          <w:sz w:val="22"/>
          <w:szCs w:val="22"/>
        </w:rPr>
      </w:pPr>
      <w:r w:rsidRPr="008F60DD">
        <w:rPr>
          <w:rFonts w:ascii="Century Gothic" w:hAnsi="Century Gothic" w:cs="Calibri"/>
          <w:b/>
          <w:sz w:val="22"/>
          <w:szCs w:val="22"/>
        </w:rPr>
        <w:t>a</w:t>
      </w:r>
    </w:p>
    <w:p w14:paraId="09DD7F1E" w14:textId="77777777" w:rsidR="00DB7EF8" w:rsidRPr="008F60DD" w:rsidRDefault="00DB7EF8" w:rsidP="009E5D47">
      <w:pPr>
        <w:jc w:val="both"/>
        <w:rPr>
          <w:rFonts w:ascii="Century Gothic" w:hAnsi="Century Gothic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60DD" w:rsidRPr="008F60DD" w14:paraId="61095706" w14:textId="77777777" w:rsidTr="00CE7C44">
        <w:tc>
          <w:tcPr>
            <w:tcW w:w="4605" w:type="dxa"/>
            <w:shd w:val="clear" w:color="auto" w:fill="auto"/>
          </w:tcPr>
          <w:p w14:paraId="11624BF0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Prodávající:</w:t>
            </w:r>
          </w:p>
        </w:tc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0307E5D9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  <w:tr w:rsidR="008F60DD" w:rsidRPr="008F60DD" w14:paraId="747508F6" w14:textId="77777777" w:rsidTr="00CE7C44">
        <w:tc>
          <w:tcPr>
            <w:tcW w:w="4605" w:type="dxa"/>
            <w:shd w:val="clear" w:color="auto" w:fill="auto"/>
          </w:tcPr>
          <w:p w14:paraId="3E5C6CEE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 xml:space="preserve">se sídlem: 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CBB894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  <w:tr w:rsidR="008F60DD" w:rsidRPr="008F60DD" w14:paraId="06BDEB52" w14:textId="77777777" w:rsidTr="00CE7C44">
        <w:tc>
          <w:tcPr>
            <w:tcW w:w="4605" w:type="dxa"/>
            <w:shd w:val="clear" w:color="auto" w:fill="auto"/>
          </w:tcPr>
          <w:p w14:paraId="48E5C7AB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zastoupený: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29C02A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  <w:tr w:rsidR="008F60DD" w:rsidRPr="008F60DD" w14:paraId="64373DEB" w14:textId="77777777" w:rsidTr="00CE7C44">
        <w:tc>
          <w:tcPr>
            <w:tcW w:w="4605" w:type="dxa"/>
            <w:shd w:val="clear" w:color="auto" w:fill="auto"/>
          </w:tcPr>
          <w:p w14:paraId="3EF95705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IČ: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8C376D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  <w:tr w:rsidR="008F60DD" w:rsidRPr="008F60DD" w14:paraId="66806E65" w14:textId="77777777" w:rsidTr="00CE7C44">
        <w:tc>
          <w:tcPr>
            <w:tcW w:w="4605" w:type="dxa"/>
            <w:shd w:val="clear" w:color="auto" w:fill="auto"/>
          </w:tcPr>
          <w:p w14:paraId="364F3ACF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DIČ: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8FFA42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  <w:tr w:rsidR="008F60DD" w:rsidRPr="008F60DD" w14:paraId="5D5A983F" w14:textId="77777777" w:rsidTr="00CE7C44">
        <w:tc>
          <w:tcPr>
            <w:tcW w:w="4605" w:type="dxa"/>
            <w:shd w:val="clear" w:color="auto" w:fill="auto"/>
          </w:tcPr>
          <w:p w14:paraId="68181046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Obchodní rejstřík: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549BB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  <w:tr w:rsidR="008F60DD" w:rsidRPr="008F60DD" w14:paraId="5535F2B3" w14:textId="77777777" w:rsidTr="00CE7C44">
        <w:tc>
          <w:tcPr>
            <w:tcW w:w="4605" w:type="dxa"/>
            <w:shd w:val="clear" w:color="auto" w:fill="auto"/>
          </w:tcPr>
          <w:p w14:paraId="778F98E7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46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E9C4F6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  <w:tr w:rsidR="00DB7EF8" w:rsidRPr="008F60DD" w14:paraId="427A8FEA" w14:textId="77777777" w:rsidTr="00CE7C44">
        <w:tc>
          <w:tcPr>
            <w:tcW w:w="4605" w:type="dxa"/>
            <w:shd w:val="clear" w:color="auto" w:fill="auto"/>
          </w:tcPr>
          <w:p w14:paraId="11AC94FF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Telefon:</w:t>
            </w:r>
          </w:p>
        </w:tc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4DCB78E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72EFC8DD" w14:textId="77777777" w:rsidR="00DB7EF8" w:rsidRPr="008F60DD" w:rsidRDefault="00DB7EF8" w:rsidP="009E5D47">
      <w:pPr>
        <w:jc w:val="both"/>
        <w:rPr>
          <w:rFonts w:ascii="Century Gothic" w:hAnsi="Century Gothic" w:cs="Calibri"/>
          <w:b/>
          <w:sz w:val="22"/>
          <w:szCs w:val="22"/>
          <w:highlight w:val="yellow"/>
        </w:rPr>
      </w:pPr>
    </w:p>
    <w:p w14:paraId="73F9C3B6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  <w:highlight w:val="yellow"/>
        </w:rPr>
      </w:pPr>
      <w:r w:rsidRPr="008F60DD">
        <w:rPr>
          <w:rFonts w:ascii="Century Gothic" w:hAnsi="Century Gothic" w:cs="Calibri"/>
          <w:sz w:val="22"/>
          <w:szCs w:val="22"/>
          <w:highlight w:val="yellow"/>
        </w:rPr>
        <w:t>Osoby oprávněné jednat</w:t>
      </w:r>
    </w:p>
    <w:p w14:paraId="4FD62004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  <w:highlight w:val="yellow"/>
        </w:rPr>
        <w:t>ve věcech technických:</w:t>
      </w:r>
    </w:p>
    <w:p w14:paraId="64971FE1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ab/>
      </w:r>
    </w:p>
    <w:p w14:paraId="14AEE032" w14:textId="77777777" w:rsidR="00DB7EF8" w:rsidRPr="008F60DD" w:rsidRDefault="0080450A" w:rsidP="009E5D47">
      <w:pPr>
        <w:jc w:val="both"/>
        <w:rPr>
          <w:rFonts w:ascii="Century Gothic" w:hAnsi="Century Gothic" w:cs="Calibri"/>
          <w:sz w:val="22"/>
          <w:szCs w:val="22"/>
        </w:rPr>
      </w:pPr>
      <w:r w:rsidRPr="008F60DD" w:rsidDel="0080450A">
        <w:rPr>
          <w:rFonts w:ascii="Century Gothic" w:hAnsi="Century Gothic" w:cs="Calibri"/>
          <w:sz w:val="22"/>
          <w:szCs w:val="22"/>
        </w:rPr>
        <w:t xml:space="preserve"> </w:t>
      </w:r>
      <w:r w:rsidR="00DB7EF8" w:rsidRPr="008F60DD">
        <w:rPr>
          <w:rFonts w:ascii="Century Gothic" w:hAnsi="Century Gothic" w:cs="Calibri"/>
          <w:sz w:val="22"/>
          <w:szCs w:val="22"/>
        </w:rPr>
        <w:t>(dále jen „prodávající“)</w:t>
      </w:r>
    </w:p>
    <w:p w14:paraId="13DB8F65" w14:textId="77777777" w:rsidR="0080450A" w:rsidRPr="008F60DD" w:rsidRDefault="0080450A" w:rsidP="009E5D47">
      <w:pPr>
        <w:pStyle w:val="Odstavecseseznamem"/>
        <w:suppressAutoHyphens/>
        <w:spacing w:after="0" w:line="240" w:lineRule="auto"/>
        <w:rPr>
          <w:rFonts w:cs="Calibri"/>
          <w:b/>
          <w:bCs/>
          <w:sz w:val="22"/>
          <w:szCs w:val="22"/>
        </w:rPr>
      </w:pPr>
      <w:bookmarkStart w:id="1" w:name="_GoBack"/>
      <w:bookmarkEnd w:id="1"/>
    </w:p>
    <w:p w14:paraId="6918D621" w14:textId="77777777" w:rsidR="00D0332D" w:rsidRPr="008F60DD" w:rsidRDefault="00D0332D" w:rsidP="009E5D47">
      <w:pPr>
        <w:pStyle w:val="Odstavecseseznamem"/>
        <w:suppressAutoHyphens/>
        <w:spacing w:after="0" w:line="240" w:lineRule="auto"/>
        <w:rPr>
          <w:rFonts w:cs="Calibri"/>
          <w:bCs/>
          <w:sz w:val="22"/>
          <w:szCs w:val="22"/>
        </w:rPr>
      </w:pPr>
    </w:p>
    <w:p w14:paraId="78DB91EB" w14:textId="77777777" w:rsidR="00B03B4C" w:rsidRPr="008F60DD" w:rsidRDefault="00B03B4C" w:rsidP="00255C28">
      <w:pPr>
        <w:pStyle w:val="Odstavecseseznamem"/>
        <w:suppressAutoHyphens/>
        <w:spacing w:after="0" w:line="240" w:lineRule="auto"/>
        <w:ind w:left="0"/>
        <w:rPr>
          <w:rFonts w:cs="Calibri"/>
          <w:bCs/>
          <w:sz w:val="22"/>
          <w:szCs w:val="22"/>
        </w:rPr>
      </w:pPr>
      <w:r w:rsidRPr="008F60DD">
        <w:rPr>
          <w:rFonts w:cs="Calibri"/>
          <w:bCs/>
          <w:sz w:val="22"/>
          <w:szCs w:val="22"/>
        </w:rPr>
        <w:t>Článek 1</w:t>
      </w:r>
    </w:p>
    <w:p w14:paraId="1A79CDB9" w14:textId="77777777" w:rsidR="00DB7EF8" w:rsidRPr="008F60DD" w:rsidRDefault="00DB7EF8" w:rsidP="00255C28">
      <w:pPr>
        <w:pStyle w:val="Odstavecseseznamem"/>
        <w:suppressAutoHyphens/>
        <w:spacing w:after="0" w:line="240" w:lineRule="auto"/>
        <w:ind w:left="0"/>
        <w:rPr>
          <w:rFonts w:cs="Calibri"/>
          <w:sz w:val="22"/>
          <w:szCs w:val="22"/>
        </w:rPr>
      </w:pPr>
      <w:r w:rsidRPr="008F60DD">
        <w:rPr>
          <w:rFonts w:cs="Calibri"/>
          <w:b/>
          <w:bCs/>
          <w:sz w:val="22"/>
          <w:szCs w:val="22"/>
        </w:rPr>
        <w:t>Předmět smlouvy</w:t>
      </w:r>
    </w:p>
    <w:p w14:paraId="4DD5F4AB" w14:textId="77777777" w:rsidR="0080450A" w:rsidRPr="008F60DD" w:rsidRDefault="0017149B" w:rsidP="00255C28">
      <w:pPr>
        <w:numPr>
          <w:ilvl w:val="0"/>
          <w:numId w:val="30"/>
        </w:numPr>
        <w:suppressAutoHyphens/>
        <w:ind w:left="567" w:hanging="567"/>
        <w:jc w:val="both"/>
        <w:rPr>
          <w:rFonts w:ascii="Century Gothic" w:hAnsi="Century Gothic" w:cs="Calibri"/>
          <w:bCs/>
          <w:sz w:val="22"/>
          <w:szCs w:val="22"/>
        </w:rPr>
      </w:pPr>
      <w:r w:rsidRPr="008F60DD">
        <w:rPr>
          <w:rFonts w:ascii="Century Gothic" w:hAnsi="Century Gothic" w:cs="Calibri"/>
          <w:bCs/>
          <w:sz w:val="22"/>
          <w:szCs w:val="22"/>
        </w:rPr>
        <w:t>Touto smlouvou se prodávající zavazuje, že kupujícímu odevzdá níže specifikovanou věc (dále rovněž „zařízení“) a umožní mu nabýt vlastnické právo k ní, a kupující se zavazuje, že tuto věc převezme a zaplatí prodávajícímu sjednanou kupní cenu.</w:t>
      </w:r>
    </w:p>
    <w:p w14:paraId="24182262" w14:textId="77777777" w:rsidR="00255C28" w:rsidRPr="008F60DD" w:rsidRDefault="00DB7EF8" w:rsidP="00255C28">
      <w:pPr>
        <w:numPr>
          <w:ilvl w:val="0"/>
          <w:numId w:val="30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Předmětem této smlouvy je</w:t>
      </w:r>
      <w:r w:rsidR="00255C28" w:rsidRPr="008F60DD">
        <w:rPr>
          <w:rFonts w:ascii="Century Gothic" w:hAnsi="Century Gothic" w:cs="Calibri"/>
          <w:sz w:val="22"/>
          <w:szCs w:val="22"/>
        </w:rPr>
        <w:t>:</w:t>
      </w:r>
    </w:p>
    <w:p w14:paraId="4CEBD069" w14:textId="77777777" w:rsidR="00255C28" w:rsidRPr="008F60DD" w:rsidRDefault="00255C28" w:rsidP="00255C28">
      <w:pPr>
        <w:suppressAutoHyphens/>
        <w:ind w:left="567"/>
        <w:jc w:val="both"/>
        <w:rPr>
          <w:rFonts w:ascii="Century Gothic" w:hAnsi="Century Gothic" w:cs="Calibri"/>
          <w:sz w:val="22"/>
          <w:szCs w:val="22"/>
          <w:highlight w:val="yellow"/>
        </w:rPr>
      </w:pPr>
    </w:p>
    <w:p w14:paraId="0DA71893" w14:textId="77777777" w:rsidR="00255C28" w:rsidRPr="008F60DD" w:rsidRDefault="00255C28" w:rsidP="00255C28">
      <w:pPr>
        <w:suppressAutoHyphens/>
        <w:ind w:left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  <w:highlight w:val="yellow"/>
        </w:rPr>
        <w:t>………………….………………….………………….………………….………………….……</w:t>
      </w:r>
    </w:p>
    <w:p w14:paraId="5E667D5E" w14:textId="77777777" w:rsidR="00255C28" w:rsidRPr="008F60DD" w:rsidRDefault="00255C28" w:rsidP="00255C28">
      <w:pPr>
        <w:suppressAutoHyphens/>
        <w:ind w:left="567"/>
        <w:jc w:val="both"/>
        <w:rPr>
          <w:rFonts w:ascii="Century Gothic" w:hAnsi="Century Gothic" w:cs="Calibri"/>
          <w:sz w:val="22"/>
          <w:szCs w:val="22"/>
        </w:rPr>
      </w:pPr>
    </w:p>
    <w:p w14:paraId="1CE4614F" w14:textId="77777777" w:rsidR="00255C28" w:rsidRPr="008F60DD" w:rsidRDefault="00DB7EF8" w:rsidP="00255C28">
      <w:pPr>
        <w:suppressAutoHyphens/>
        <w:ind w:left="567"/>
        <w:jc w:val="both"/>
        <w:rPr>
          <w:rFonts w:ascii="Century Gothic" w:hAnsi="Century Gothic"/>
          <w:sz w:val="22"/>
          <w:szCs w:val="22"/>
        </w:rPr>
      </w:pPr>
      <w:r w:rsidRPr="008F60DD">
        <w:rPr>
          <w:rFonts w:ascii="Century Gothic" w:hAnsi="Century Gothic"/>
          <w:sz w:val="22"/>
          <w:szCs w:val="22"/>
        </w:rPr>
        <w:t xml:space="preserve">(dále </w:t>
      </w:r>
      <w:r w:rsidR="00255C28" w:rsidRPr="008F60DD">
        <w:rPr>
          <w:rFonts w:ascii="Century Gothic" w:hAnsi="Century Gothic"/>
          <w:sz w:val="22"/>
          <w:szCs w:val="22"/>
        </w:rPr>
        <w:t xml:space="preserve">též </w:t>
      </w:r>
      <w:r w:rsidRPr="008F60DD">
        <w:rPr>
          <w:rFonts w:ascii="Century Gothic" w:hAnsi="Century Gothic"/>
          <w:sz w:val="22"/>
          <w:szCs w:val="22"/>
        </w:rPr>
        <w:t xml:space="preserve">jen „zařízení“), v provedení </w:t>
      </w:r>
      <w:r w:rsidR="00003F1E" w:rsidRPr="008F60DD">
        <w:rPr>
          <w:rFonts w:ascii="Century Gothic" w:hAnsi="Century Gothic"/>
          <w:sz w:val="22"/>
          <w:szCs w:val="22"/>
        </w:rPr>
        <w:t xml:space="preserve">odpovídajícím </w:t>
      </w:r>
    </w:p>
    <w:p w14:paraId="0075C53B" w14:textId="3CC9C0BE" w:rsidR="00255C28" w:rsidRPr="008F60DD" w:rsidRDefault="00B03B4C" w:rsidP="00255C28">
      <w:pPr>
        <w:numPr>
          <w:ilvl w:val="3"/>
          <w:numId w:val="7"/>
        </w:numPr>
        <w:suppressAutoHyphens/>
        <w:ind w:left="1134" w:hanging="567"/>
        <w:jc w:val="both"/>
        <w:rPr>
          <w:rFonts w:ascii="Century Gothic" w:hAnsi="Century Gothic"/>
          <w:sz w:val="22"/>
          <w:szCs w:val="22"/>
        </w:rPr>
      </w:pPr>
      <w:r w:rsidRPr="008F60DD">
        <w:rPr>
          <w:rFonts w:ascii="Century Gothic" w:hAnsi="Century Gothic"/>
          <w:sz w:val="22"/>
          <w:szCs w:val="22"/>
        </w:rPr>
        <w:t xml:space="preserve">čl. </w:t>
      </w:r>
      <w:r w:rsidR="007D7CF3" w:rsidRPr="008F60DD">
        <w:rPr>
          <w:rFonts w:ascii="Century Gothic" w:hAnsi="Century Gothic"/>
          <w:sz w:val="22"/>
          <w:szCs w:val="22"/>
        </w:rPr>
        <w:t>2</w:t>
      </w:r>
      <w:r w:rsidR="00DB7EF8" w:rsidRPr="008F60DD">
        <w:rPr>
          <w:rFonts w:ascii="Century Gothic" w:hAnsi="Century Gothic"/>
          <w:sz w:val="22"/>
          <w:szCs w:val="22"/>
        </w:rPr>
        <w:t xml:space="preserve"> zadávací dokumentace na zakázku „</w:t>
      </w:r>
      <w:r w:rsidR="00EF60B8" w:rsidRPr="008F60DD">
        <w:rPr>
          <w:rFonts w:ascii="Century Gothic" w:hAnsi="Century Gothic"/>
          <w:sz w:val="22"/>
          <w:szCs w:val="22"/>
        </w:rPr>
        <w:t>Laboratorní sprejová sušárna</w:t>
      </w:r>
      <w:r w:rsidR="00DB7EF8" w:rsidRPr="008F60DD">
        <w:rPr>
          <w:rFonts w:ascii="Century Gothic" w:hAnsi="Century Gothic"/>
          <w:sz w:val="22"/>
          <w:szCs w:val="22"/>
        </w:rPr>
        <w:t xml:space="preserve">“ v rámci projektu </w:t>
      </w:r>
      <w:r w:rsidR="00114291" w:rsidRPr="008F60DD">
        <w:rPr>
          <w:rFonts w:ascii="Century Gothic" w:hAnsi="Century Gothic"/>
          <w:sz w:val="22"/>
          <w:szCs w:val="22"/>
        </w:rPr>
        <w:t xml:space="preserve">reg. č.: CZ.01.1.02/0.0/0.0/15_002/0003645 Rozšíření centra technologického vývoje pro aplikace v lékařských nanobiotechnologiích v rámci </w:t>
      </w:r>
      <w:r w:rsidR="003F58E1" w:rsidRPr="008F60DD">
        <w:rPr>
          <w:rFonts w:ascii="Century Gothic" w:hAnsi="Century Gothic"/>
          <w:sz w:val="22"/>
          <w:szCs w:val="22"/>
        </w:rPr>
        <w:t>Operačního programu Podnikání a </w:t>
      </w:r>
      <w:r w:rsidR="00114291" w:rsidRPr="008F60DD">
        <w:rPr>
          <w:rFonts w:ascii="Century Gothic" w:hAnsi="Century Gothic"/>
          <w:sz w:val="22"/>
          <w:szCs w:val="22"/>
        </w:rPr>
        <w:t xml:space="preserve">inovace pro konkurenceschopnost </w:t>
      </w:r>
      <w:r w:rsidR="00DB7EF8" w:rsidRPr="008F60DD">
        <w:rPr>
          <w:rFonts w:ascii="Century Gothic" w:hAnsi="Century Gothic"/>
          <w:sz w:val="22"/>
          <w:szCs w:val="22"/>
        </w:rPr>
        <w:t xml:space="preserve">(dále jen „zadávací dokumentace“), která </w:t>
      </w:r>
      <w:r w:rsidR="005E41E2" w:rsidRPr="008F60DD">
        <w:rPr>
          <w:rFonts w:ascii="Century Gothic" w:hAnsi="Century Gothic"/>
          <w:sz w:val="22"/>
          <w:szCs w:val="22"/>
        </w:rPr>
        <w:t>je obsažena v P</w:t>
      </w:r>
      <w:r w:rsidR="00DB7EF8" w:rsidRPr="008F60DD">
        <w:rPr>
          <w:rFonts w:ascii="Century Gothic" w:hAnsi="Century Gothic"/>
          <w:sz w:val="22"/>
          <w:szCs w:val="22"/>
        </w:rPr>
        <w:t>řílo</w:t>
      </w:r>
      <w:r w:rsidR="005E41E2" w:rsidRPr="008F60DD">
        <w:rPr>
          <w:rFonts w:ascii="Century Gothic" w:hAnsi="Century Gothic"/>
          <w:sz w:val="22"/>
          <w:szCs w:val="22"/>
        </w:rPr>
        <w:t>ze</w:t>
      </w:r>
      <w:r w:rsidR="00DB7EF8" w:rsidRPr="008F60DD">
        <w:rPr>
          <w:rFonts w:ascii="Century Gothic" w:hAnsi="Century Gothic"/>
          <w:sz w:val="22"/>
          <w:szCs w:val="22"/>
        </w:rPr>
        <w:t xml:space="preserve"> č. 1</w:t>
      </w:r>
      <w:r w:rsidR="0017149B" w:rsidRPr="008F60DD">
        <w:rPr>
          <w:rFonts w:ascii="Century Gothic" w:hAnsi="Century Gothic"/>
          <w:sz w:val="22"/>
          <w:szCs w:val="22"/>
        </w:rPr>
        <w:t>,</w:t>
      </w:r>
      <w:r w:rsidR="00DB7EF8" w:rsidRPr="008F60DD">
        <w:rPr>
          <w:rFonts w:ascii="Century Gothic" w:hAnsi="Century Gothic"/>
          <w:sz w:val="22"/>
          <w:szCs w:val="22"/>
        </w:rPr>
        <w:t xml:space="preserve"> a </w:t>
      </w:r>
    </w:p>
    <w:p w14:paraId="411C1E62" w14:textId="351C1466" w:rsidR="0017149B" w:rsidRPr="008F60DD" w:rsidRDefault="0017149B" w:rsidP="00255C28">
      <w:pPr>
        <w:numPr>
          <w:ilvl w:val="3"/>
          <w:numId w:val="7"/>
        </w:numPr>
        <w:suppressAutoHyphens/>
        <w:ind w:left="1134" w:hanging="567"/>
        <w:jc w:val="both"/>
        <w:rPr>
          <w:rFonts w:ascii="Century Gothic" w:hAnsi="Century Gothic"/>
          <w:sz w:val="22"/>
          <w:szCs w:val="22"/>
        </w:rPr>
      </w:pPr>
      <w:r w:rsidRPr="008F60DD">
        <w:rPr>
          <w:rFonts w:ascii="Century Gothic" w:hAnsi="Century Gothic"/>
          <w:sz w:val="22"/>
          <w:szCs w:val="22"/>
        </w:rPr>
        <w:t xml:space="preserve">v rozsahu </w:t>
      </w:r>
      <w:r w:rsidR="00DB7EF8" w:rsidRPr="008F60DD">
        <w:rPr>
          <w:rFonts w:ascii="Century Gothic" w:hAnsi="Century Gothic"/>
          <w:sz w:val="22"/>
          <w:szCs w:val="22"/>
        </w:rPr>
        <w:t>nabídky prodávajícího</w:t>
      </w:r>
      <w:r w:rsidRPr="008F60DD">
        <w:rPr>
          <w:rFonts w:ascii="Century Gothic" w:hAnsi="Century Gothic"/>
          <w:sz w:val="22"/>
          <w:szCs w:val="22"/>
        </w:rPr>
        <w:t xml:space="preserve">, která byla podána prodávajícím </w:t>
      </w:r>
      <w:r w:rsidR="003F58E1" w:rsidRPr="008F60DD">
        <w:rPr>
          <w:rFonts w:ascii="Century Gothic" w:hAnsi="Century Gothic" w:cs="Calibri"/>
          <w:sz w:val="22"/>
          <w:szCs w:val="22"/>
        </w:rPr>
        <w:t>do </w:t>
      </w:r>
      <w:r w:rsidRPr="008F60DD">
        <w:rPr>
          <w:rFonts w:ascii="Century Gothic" w:hAnsi="Century Gothic" w:cs="Calibri"/>
          <w:sz w:val="22"/>
          <w:szCs w:val="22"/>
        </w:rPr>
        <w:t>výběrového řízení na základě</w:t>
      </w:r>
      <w:r w:rsidR="00003F1E" w:rsidRPr="008F60DD">
        <w:rPr>
          <w:rFonts w:ascii="Century Gothic" w:hAnsi="Century Gothic" w:cs="Calibri"/>
          <w:sz w:val="22"/>
          <w:szCs w:val="22"/>
        </w:rPr>
        <w:t xml:space="preserve"> </w:t>
      </w:r>
      <w:r w:rsidRPr="008F60DD">
        <w:rPr>
          <w:rFonts w:ascii="Century Gothic" w:hAnsi="Century Gothic" w:cs="Calibri"/>
          <w:sz w:val="22"/>
          <w:szCs w:val="22"/>
        </w:rPr>
        <w:t>zadávací dokumentace,</w:t>
      </w:r>
      <w:r w:rsidR="00DB7EF8" w:rsidRPr="008F60DD">
        <w:rPr>
          <w:rFonts w:ascii="Century Gothic" w:hAnsi="Century Gothic" w:cs="Calibri"/>
          <w:sz w:val="22"/>
          <w:szCs w:val="22"/>
        </w:rPr>
        <w:t xml:space="preserve"> </w:t>
      </w:r>
      <w:r w:rsidR="00255C28" w:rsidRPr="008F60DD">
        <w:rPr>
          <w:rFonts w:ascii="Century Gothic" w:hAnsi="Century Gothic"/>
          <w:sz w:val="22"/>
          <w:szCs w:val="22"/>
        </w:rPr>
        <w:t>která je obsažena v Příloze č. 2</w:t>
      </w:r>
      <w:r w:rsidR="00DB7EF8" w:rsidRPr="008F60DD">
        <w:rPr>
          <w:rFonts w:ascii="Century Gothic" w:hAnsi="Century Gothic" w:cs="Calibri"/>
          <w:sz w:val="22"/>
          <w:szCs w:val="22"/>
        </w:rPr>
        <w:t>.</w:t>
      </w:r>
    </w:p>
    <w:p w14:paraId="6EC6670C" w14:textId="57B3FDAA" w:rsidR="006373A8" w:rsidRPr="008F60DD" w:rsidRDefault="00255C28" w:rsidP="00255C28">
      <w:pPr>
        <w:numPr>
          <w:ilvl w:val="0"/>
          <w:numId w:val="30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bCs/>
          <w:sz w:val="22"/>
          <w:szCs w:val="22"/>
        </w:rPr>
        <w:t>Předmět smlouvy</w:t>
      </w:r>
      <w:r w:rsidRPr="008F60DD">
        <w:rPr>
          <w:rFonts w:ascii="Century Gothic" w:hAnsi="Century Gothic" w:cs="Calibri"/>
          <w:sz w:val="22"/>
          <w:szCs w:val="22"/>
        </w:rPr>
        <w:t xml:space="preserve"> bud</w:t>
      </w:r>
      <w:r w:rsidR="00986EF1" w:rsidRPr="008F60DD">
        <w:rPr>
          <w:rFonts w:ascii="Century Gothic" w:hAnsi="Century Gothic" w:cs="Calibri"/>
          <w:sz w:val="22"/>
          <w:szCs w:val="22"/>
        </w:rPr>
        <w:t>e</w:t>
      </w:r>
      <w:r w:rsidRPr="008F60DD">
        <w:rPr>
          <w:rFonts w:ascii="Century Gothic" w:hAnsi="Century Gothic" w:cs="Calibri"/>
          <w:sz w:val="22"/>
          <w:szCs w:val="22"/>
        </w:rPr>
        <w:t xml:space="preserve"> dodán</w:t>
      </w:r>
      <w:r w:rsidR="006373A8" w:rsidRPr="008F60DD">
        <w:rPr>
          <w:rFonts w:ascii="Century Gothic" w:hAnsi="Century Gothic" w:cs="Calibri"/>
          <w:sz w:val="22"/>
          <w:szCs w:val="22"/>
        </w:rPr>
        <w:t xml:space="preserve"> v souladu s dodací podmínkou DAP Dolní Dobrouč 401 dle Incoterms 2010.</w:t>
      </w:r>
    </w:p>
    <w:p w14:paraId="4C6C2DAC" w14:textId="31F44FFC" w:rsidR="005E41E2" w:rsidRPr="008F60DD" w:rsidRDefault="005E41E2" w:rsidP="00255C28">
      <w:pPr>
        <w:numPr>
          <w:ilvl w:val="0"/>
          <w:numId w:val="30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Prodávající se zavazuje, že předmět smlouvy má parametry uvedené v</w:t>
      </w:r>
      <w:r w:rsidR="00255C28" w:rsidRPr="008F60DD">
        <w:rPr>
          <w:rFonts w:ascii="Century Gothic" w:hAnsi="Century Gothic" w:cs="Calibri"/>
          <w:sz w:val="22"/>
          <w:szCs w:val="22"/>
        </w:rPr>
        <w:t> </w:t>
      </w:r>
      <w:r w:rsidR="00C52980" w:rsidRPr="008F60DD">
        <w:rPr>
          <w:rFonts w:ascii="Century Gothic" w:hAnsi="Century Gothic" w:cs="Calibri"/>
          <w:sz w:val="22"/>
          <w:szCs w:val="22"/>
        </w:rPr>
        <w:t>kap</w:t>
      </w:r>
      <w:r w:rsidR="00255C28" w:rsidRPr="008F60DD">
        <w:rPr>
          <w:rFonts w:ascii="Century Gothic" w:hAnsi="Century Gothic" w:cs="Calibri"/>
          <w:sz w:val="22"/>
          <w:szCs w:val="22"/>
        </w:rPr>
        <w:t>.</w:t>
      </w:r>
      <w:r w:rsidRPr="008F60DD">
        <w:rPr>
          <w:rFonts w:ascii="Century Gothic" w:hAnsi="Century Gothic" w:cs="Calibri"/>
          <w:sz w:val="22"/>
          <w:szCs w:val="22"/>
        </w:rPr>
        <w:t xml:space="preserve"> 2 zadávací dokumentace, nebo lepší.</w:t>
      </w:r>
    </w:p>
    <w:p w14:paraId="6D20F221" w14:textId="46E4A7F6" w:rsidR="00003F1E" w:rsidRPr="008F60DD" w:rsidRDefault="00003F1E" w:rsidP="00255C28">
      <w:pPr>
        <w:numPr>
          <w:ilvl w:val="0"/>
          <w:numId w:val="30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Součástí předmětu smlouvy je rovněž zaškolení obsluhy v</w:t>
      </w:r>
      <w:r w:rsidR="00CC027C" w:rsidRPr="008F60DD">
        <w:rPr>
          <w:rFonts w:ascii="Century Gothic" w:hAnsi="Century Gothic" w:cs="Calibri"/>
          <w:sz w:val="22"/>
          <w:szCs w:val="22"/>
        </w:rPr>
        <w:t xml:space="preserve"> tomto </w:t>
      </w:r>
      <w:r w:rsidRPr="008F60DD">
        <w:rPr>
          <w:rFonts w:ascii="Century Gothic" w:hAnsi="Century Gothic" w:cs="Calibri"/>
          <w:sz w:val="22"/>
          <w:szCs w:val="22"/>
        </w:rPr>
        <w:t>rozsahu</w:t>
      </w:r>
      <w:r w:rsidR="00CC027C" w:rsidRPr="008F60DD">
        <w:rPr>
          <w:rFonts w:ascii="Century Gothic" w:hAnsi="Century Gothic" w:cs="Calibri"/>
          <w:sz w:val="22"/>
          <w:szCs w:val="22"/>
        </w:rPr>
        <w:t>:</w:t>
      </w:r>
      <w:r w:rsidRPr="008F60DD">
        <w:rPr>
          <w:rFonts w:ascii="Century Gothic" w:hAnsi="Century Gothic" w:cs="Calibri"/>
          <w:sz w:val="22"/>
          <w:szCs w:val="22"/>
        </w:rPr>
        <w:t xml:space="preserve"> </w:t>
      </w:r>
      <w:r w:rsidR="006E3EE5" w:rsidRPr="008F60DD">
        <w:rPr>
          <w:rFonts w:ascii="Century Gothic" w:hAnsi="Century Gothic"/>
          <w:sz w:val="22"/>
          <w:szCs w:val="22"/>
        </w:rPr>
        <w:t xml:space="preserve">základní obsluha </w:t>
      </w:r>
      <w:r w:rsidR="00E931EA" w:rsidRPr="008F60DD">
        <w:rPr>
          <w:rFonts w:ascii="Century Gothic" w:hAnsi="Century Gothic"/>
          <w:sz w:val="22"/>
          <w:szCs w:val="22"/>
        </w:rPr>
        <w:t xml:space="preserve">a údržba </w:t>
      </w:r>
      <w:r w:rsidR="006E3EE5" w:rsidRPr="008F60DD">
        <w:rPr>
          <w:rFonts w:ascii="Century Gothic" w:hAnsi="Century Gothic"/>
          <w:sz w:val="22"/>
          <w:szCs w:val="22"/>
        </w:rPr>
        <w:t>zařízení, ovládání všech prvků zařízení přes řídicí systém a další ovládací prvky</w:t>
      </w:r>
      <w:r w:rsidRPr="008F60DD">
        <w:rPr>
          <w:rFonts w:ascii="Century Gothic" w:hAnsi="Century Gothic" w:cs="Calibri"/>
          <w:sz w:val="22"/>
          <w:szCs w:val="22"/>
        </w:rPr>
        <w:t>.</w:t>
      </w:r>
    </w:p>
    <w:p w14:paraId="23F5C33E" w14:textId="465B735A" w:rsidR="005E41E2" w:rsidRPr="008F60DD" w:rsidRDefault="00003F1E" w:rsidP="00255C28">
      <w:pPr>
        <w:numPr>
          <w:ilvl w:val="0"/>
          <w:numId w:val="30"/>
        </w:numPr>
        <w:suppressAutoHyphens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Spolu s předmětem smlouvy je </w:t>
      </w:r>
      <w:r w:rsidR="00B03B4C" w:rsidRPr="008F60DD">
        <w:rPr>
          <w:rFonts w:ascii="Century Gothic" w:hAnsi="Century Gothic" w:cs="Calibri"/>
          <w:sz w:val="22"/>
          <w:szCs w:val="22"/>
        </w:rPr>
        <w:t xml:space="preserve">prodávající povinen dodat </w:t>
      </w:r>
      <w:r w:rsidR="00C73338" w:rsidRPr="008F60DD">
        <w:rPr>
          <w:rFonts w:ascii="Century Gothic" w:hAnsi="Century Gothic"/>
          <w:sz w:val="22"/>
          <w:szCs w:val="22"/>
        </w:rPr>
        <w:t>veškeré dokumenty uvedené v bodě 2.</w:t>
      </w:r>
      <w:r w:rsidR="00E931EA" w:rsidRPr="008F60DD">
        <w:rPr>
          <w:rFonts w:ascii="Century Gothic" w:hAnsi="Century Gothic"/>
          <w:sz w:val="22"/>
          <w:szCs w:val="22"/>
        </w:rPr>
        <w:t xml:space="preserve">6 </w:t>
      </w:r>
      <w:r w:rsidR="00C73338" w:rsidRPr="008F60DD">
        <w:rPr>
          <w:rFonts w:ascii="Century Gothic" w:hAnsi="Century Gothic"/>
          <w:sz w:val="22"/>
          <w:szCs w:val="22"/>
        </w:rPr>
        <w:t>zadávací dokumentace</w:t>
      </w:r>
      <w:r w:rsidR="00B03B4C" w:rsidRPr="008F60DD">
        <w:rPr>
          <w:rFonts w:ascii="Century Gothic" w:hAnsi="Century Gothic"/>
          <w:sz w:val="22"/>
          <w:szCs w:val="22"/>
        </w:rPr>
        <w:t xml:space="preserve">. </w:t>
      </w:r>
    </w:p>
    <w:p w14:paraId="616B9E7F" w14:textId="77777777" w:rsidR="0017149B" w:rsidRPr="008F60DD" w:rsidRDefault="0017149B" w:rsidP="00B03B4C">
      <w:pPr>
        <w:tabs>
          <w:tab w:val="left" w:pos="851"/>
        </w:tabs>
        <w:suppressAutoHyphens/>
        <w:ind w:left="426"/>
        <w:jc w:val="both"/>
        <w:rPr>
          <w:rFonts w:ascii="Century Gothic" w:hAnsi="Century Gothic" w:cs="Calibri"/>
          <w:sz w:val="22"/>
          <w:szCs w:val="22"/>
        </w:rPr>
      </w:pPr>
    </w:p>
    <w:p w14:paraId="78AC50D0" w14:textId="77777777" w:rsidR="00B03B4C" w:rsidRPr="008F60DD" w:rsidRDefault="00B03B4C" w:rsidP="00255C28">
      <w:pPr>
        <w:pStyle w:val="Odstavecseseznamem"/>
        <w:suppressAutoHyphens/>
        <w:spacing w:after="0" w:line="240" w:lineRule="auto"/>
        <w:ind w:left="0"/>
        <w:rPr>
          <w:rFonts w:cs="Calibri"/>
          <w:bCs/>
          <w:sz w:val="22"/>
          <w:szCs w:val="22"/>
        </w:rPr>
      </w:pPr>
      <w:r w:rsidRPr="008F60DD">
        <w:rPr>
          <w:rFonts w:cs="Calibri"/>
          <w:bCs/>
          <w:sz w:val="22"/>
          <w:szCs w:val="22"/>
        </w:rPr>
        <w:t>Článek 2</w:t>
      </w:r>
    </w:p>
    <w:p w14:paraId="05A5443C" w14:textId="77777777" w:rsidR="00DB7EF8" w:rsidRPr="008F60DD" w:rsidRDefault="00DB7EF8" w:rsidP="00255C28">
      <w:pPr>
        <w:pStyle w:val="Odstavecseseznamem"/>
        <w:suppressAutoHyphens/>
        <w:spacing w:after="0" w:line="240" w:lineRule="auto"/>
        <w:ind w:left="0"/>
        <w:rPr>
          <w:rFonts w:cs="Calibri"/>
          <w:b/>
          <w:bCs/>
          <w:sz w:val="22"/>
          <w:szCs w:val="22"/>
        </w:rPr>
      </w:pPr>
      <w:r w:rsidRPr="008F60DD">
        <w:rPr>
          <w:rFonts w:cs="Calibri"/>
          <w:b/>
          <w:bCs/>
          <w:sz w:val="22"/>
          <w:szCs w:val="22"/>
        </w:rPr>
        <w:t>Kupní cena a platební podmínky</w:t>
      </w:r>
    </w:p>
    <w:p w14:paraId="30377143" w14:textId="77777777" w:rsidR="00B03B4C" w:rsidRPr="008F60DD" w:rsidRDefault="00B03B4C" w:rsidP="00255C28">
      <w:pPr>
        <w:numPr>
          <w:ilvl w:val="0"/>
          <w:numId w:val="31"/>
        </w:numPr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Smluvní strany se dohodly na této kupní ceně:</w:t>
      </w:r>
    </w:p>
    <w:p w14:paraId="5A00EB68" w14:textId="77777777" w:rsidR="00DB7EF8" w:rsidRPr="008F60DD" w:rsidRDefault="00DB7EF8" w:rsidP="00255C28">
      <w:pPr>
        <w:ind w:left="567"/>
        <w:jc w:val="both"/>
        <w:rPr>
          <w:rFonts w:ascii="Century Gothic" w:hAnsi="Century Gothic" w:cs="Calibri"/>
          <w:sz w:val="22"/>
          <w:szCs w:val="22"/>
          <w:highlight w:val="yellow"/>
        </w:rPr>
      </w:pPr>
      <w:r w:rsidRPr="008F60DD">
        <w:rPr>
          <w:rFonts w:ascii="Century Gothic" w:hAnsi="Century Gothic" w:cs="Calibri"/>
          <w:sz w:val="22"/>
          <w:szCs w:val="22"/>
          <w:highlight w:val="yellow"/>
        </w:rPr>
        <w:t xml:space="preserve">Cena zařízení bez DPH: </w:t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="00D0332D"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="00B03B4C"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 xml:space="preserve">................. </w:t>
      </w:r>
      <w:r w:rsidR="00114291" w:rsidRPr="008F60DD">
        <w:rPr>
          <w:rFonts w:ascii="Century Gothic" w:hAnsi="Century Gothic" w:cs="Calibri"/>
          <w:sz w:val="22"/>
          <w:szCs w:val="22"/>
          <w:highlight w:val="yellow"/>
        </w:rPr>
        <w:t>EUR</w:t>
      </w:r>
    </w:p>
    <w:p w14:paraId="7053ED57" w14:textId="77777777" w:rsidR="00DB7EF8" w:rsidRPr="008F60DD" w:rsidRDefault="00DB7EF8" w:rsidP="00B03B4C">
      <w:pPr>
        <w:ind w:left="567"/>
        <w:jc w:val="both"/>
        <w:rPr>
          <w:rFonts w:ascii="Century Gothic" w:hAnsi="Century Gothic" w:cs="Calibri"/>
          <w:sz w:val="22"/>
          <w:szCs w:val="22"/>
          <w:highlight w:val="yellow"/>
        </w:rPr>
      </w:pPr>
      <w:r w:rsidRPr="008F60DD">
        <w:rPr>
          <w:rFonts w:ascii="Century Gothic" w:hAnsi="Century Gothic" w:cs="Calibri"/>
          <w:sz w:val="22"/>
          <w:szCs w:val="22"/>
          <w:highlight w:val="yellow"/>
        </w:rPr>
        <w:t>DPH 21 %:</w:t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="00D0332D"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="00B03B4C"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 xml:space="preserve">................. </w:t>
      </w:r>
      <w:r w:rsidR="00114291" w:rsidRPr="008F60DD">
        <w:rPr>
          <w:rFonts w:ascii="Century Gothic" w:hAnsi="Century Gothic" w:cs="Calibri"/>
          <w:sz w:val="22"/>
          <w:szCs w:val="22"/>
          <w:highlight w:val="yellow"/>
        </w:rPr>
        <w:t>EUR</w:t>
      </w:r>
    </w:p>
    <w:p w14:paraId="5EC50669" w14:textId="77777777" w:rsidR="00DB7EF8" w:rsidRPr="008F60DD" w:rsidRDefault="00DB7EF8" w:rsidP="00B03B4C">
      <w:pPr>
        <w:ind w:left="567"/>
        <w:jc w:val="both"/>
        <w:rPr>
          <w:rFonts w:ascii="Century Gothic" w:hAnsi="Century Gothic" w:cs="Calibri"/>
          <w:sz w:val="22"/>
          <w:szCs w:val="22"/>
          <w:highlight w:val="yellow"/>
        </w:rPr>
      </w:pPr>
      <w:r w:rsidRPr="008F60DD">
        <w:rPr>
          <w:rFonts w:ascii="Century Gothic" w:hAnsi="Century Gothic" w:cs="Calibri"/>
          <w:sz w:val="22"/>
          <w:szCs w:val="22"/>
          <w:highlight w:val="yellow"/>
        </w:rPr>
        <w:t>Cena celkem vč. 21 % DPH:</w:t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="00B03B4C"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="00B03B4C" w:rsidRPr="008F60DD">
        <w:rPr>
          <w:rFonts w:ascii="Century Gothic" w:hAnsi="Century Gothic" w:cs="Calibri"/>
          <w:sz w:val="22"/>
          <w:szCs w:val="22"/>
          <w:highlight w:val="yellow"/>
        </w:rPr>
        <w:tab/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 xml:space="preserve">................. </w:t>
      </w:r>
      <w:r w:rsidR="00114291" w:rsidRPr="008F60DD">
        <w:rPr>
          <w:rFonts w:ascii="Century Gothic" w:hAnsi="Century Gothic" w:cs="Calibri"/>
          <w:sz w:val="22"/>
          <w:szCs w:val="22"/>
          <w:highlight w:val="yellow"/>
        </w:rPr>
        <w:t>EUR</w:t>
      </w:r>
    </w:p>
    <w:p w14:paraId="4793C1E3" w14:textId="3BB201C8" w:rsidR="0080450A" w:rsidRPr="008F60DD" w:rsidRDefault="0080450A" w:rsidP="00255C28">
      <w:pPr>
        <w:numPr>
          <w:ilvl w:val="0"/>
          <w:numId w:val="31"/>
        </w:numPr>
        <w:tabs>
          <w:tab w:val="left" w:pos="567"/>
        </w:tabs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/>
          <w:sz w:val="22"/>
          <w:szCs w:val="22"/>
        </w:rPr>
        <w:t xml:space="preserve">Cena podle </w:t>
      </w:r>
      <w:r w:rsidR="00B03B4C" w:rsidRPr="008F60DD">
        <w:rPr>
          <w:rFonts w:ascii="Century Gothic" w:hAnsi="Century Gothic"/>
          <w:sz w:val="22"/>
          <w:szCs w:val="22"/>
        </w:rPr>
        <w:t>odst. 1</w:t>
      </w:r>
      <w:r w:rsidRPr="008F60DD">
        <w:rPr>
          <w:rFonts w:ascii="Century Gothic" w:hAnsi="Century Gothic"/>
          <w:sz w:val="22"/>
          <w:szCs w:val="22"/>
        </w:rPr>
        <w:t xml:space="preserve"> je nejvyšší přípustná a zahrnuje veškeré náklady nezbytné k</w:t>
      </w:r>
      <w:r w:rsidR="005E41E2" w:rsidRPr="008F60DD">
        <w:rPr>
          <w:rFonts w:ascii="Century Gothic" w:hAnsi="Century Gothic"/>
          <w:sz w:val="22"/>
          <w:szCs w:val="22"/>
        </w:rPr>
        <w:t> </w:t>
      </w:r>
      <w:r w:rsidRPr="008F60DD">
        <w:rPr>
          <w:rFonts w:ascii="Century Gothic" w:hAnsi="Century Gothic"/>
          <w:sz w:val="22"/>
          <w:szCs w:val="22"/>
        </w:rPr>
        <w:t xml:space="preserve">řádnému, úplnému a jinak bezvadnému plnění této smlouvy při zohlednění všech rizik a okolností ovlivňujících plnění. Zahrnuje vždy cenu dopravy zařízení a všeho potřebného materiálu a osob až na místo instalace (montáže), zaškolení obsluhy předmětu smlouvy, případného pojištění, </w:t>
      </w:r>
      <w:r w:rsidR="003F58E1" w:rsidRPr="008F60DD">
        <w:rPr>
          <w:rFonts w:ascii="Century Gothic" w:hAnsi="Century Gothic"/>
          <w:sz w:val="22"/>
          <w:szCs w:val="22"/>
        </w:rPr>
        <w:t>záruk, daní, cel a </w:t>
      </w:r>
      <w:r w:rsidRPr="008F60DD">
        <w:rPr>
          <w:rFonts w:ascii="Century Gothic" w:hAnsi="Century Gothic"/>
          <w:sz w:val="22"/>
          <w:szCs w:val="22"/>
        </w:rPr>
        <w:t>ostatních poplatků, a zohledňuje také inflač</w:t>
      </w:r>
      <w:r w:rsidR="003F58E1" w:rsidRPr="008F60DD">
        <w:rPr>
          <w:rFonts w:ascii="Century Gothic" w:hAnsi="Century Gothic"/>
          <w:sz w:val="22"/>
          <w:szCs w:val="22"/>
        </w:rPr>
        <w:t>ní vlivy. Cenu lze měnit jen za </w:t>
      </w:r>
      <w:r w:rsidRPr="008F60DD">
        <w:rPr>
          <w:rFonts w:ascii="Century Gothic" w:hAnsi="Century Gothic"/>
          <w:sz w:val="22"/>
          <w:szCs w:val="22"/>
        </w:rPr>
        <w:t>podmínek, za kterých to čerpání veřejných prostředků připouští.</w:t>
      </w:r>
    </w:p>
    <w:p w14:paraId="0A81EFD8" w14:textId="77777777" w:rsidR="00DB7EF8" w:rsidRPr="008F60DD" w:rsidRDefault="006373A8" w:rsidP="00255C28">
      <w:pPr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Kupní cena bude hrazena v těchto částech:</w:t>
      </w:r>
    </w:p>
    <w:p w14:paraId="35DAE4CC" w14:textId="77777777" w:rsidR="00B03B4C" w:rsidRPr="008F60DD" w:rsidRDefault="00B03B4C" w:rsidP="00255C28">
      <w:pPr>
        <w:tabs>
          <w:tab w:val="left" w:pos="1134"/>
        </w:tabs>
        <w:ind w:left="1134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a) </w:t>
      </w:r>
      <w:r w:rsidRPr="008F60DD">
        <w:rPr>
          <w:rFonts w:ascii="Century Gothic" w:hAnsi="Century Gothic" w:cs="Calibri"/>
          <w:sz w:val="22"/>
          <w:szCs w:val="22"/>
        </w:rPr>
        <w:tab/>
      </w:r>
      <w:r w:rsidR="00DB7EF8" w:rsidRPr="008F60DD">
        <w:rPr>
          <w:rFonts w:ascii="Century Gothic" w:hAnsi="Century Gothic" w:cs="Calibri"/>
          <w:sz w:val="22"/>
          <w:szCs w:val="22"/>
        </w:rPr>
        <w:t>40 % ceny po podpisu smlouvy</w:t>
      </w:r>
      <w:r w:rsidR="006373A8" w:rsidRPr="008F60DD">
        <w:rPr>
          <w:rFonts w:ascii="Century Gothic" w:hAnsi="Century Gothic" w:cs="Calibri"/>
          <w:sz w:val="22"/>
          <w:szCs w:val="22"/>
        </w:rPr>
        <w:t>,</w:t>
      </w:r>
    </w:p>
    <w:p w14:paraId="298829D9" w14:textId="727359CC" w:rsidR="006373A8" w:rsidRPr="008F60DD" w:rsidRDefault="00B03B4C" w:rsidP="00255C28">
      <w:pPr>
        <w:tabs>
          <w:tab w:val="left" w:pos="1134"/>
        </w:tabs>
        <w:ind w:left="1134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b) </w:t>
      </w:r>
      <w:r w:rsidRPr="008F60DD">
        <w:rPr>
          <w:rFonts w:ascii="Century Gothic" w:hAnsi="Century Gothic" w:cs="Calibri"/>
          <w:sz w:val="22"/>
          <w:szCs w:val="22"/>
        </w:rPr>
        <w:tab/>
      </w:r>
      <w:r w:rsidR="00DB7EF8" w:rsidRPr="008F60DD">
        <w:rPr>
          <w:rFonts w:ascii="Century Gothic" w:hAnsi="Century Gothic" w:cs="Calibri"/>
          <w:sz w:val="22"/>
          <w:szCs w:val="22"/>
        </w:rPr>
        <w:t xml:space="preserve">40 % </w:t>
      </w:r>
      <w:r w:rsidR="00EF60B8" w:rsidRPr="008F60DD">
        <w:rPr>
          <w:rFonts w:ascii="Century Gothic" w:hAnsi="Century Gothic" w:cs="Century Gothic"/>
          <w:bCs/>
          <w:sz w:val="22"/>
          <w:szCs w:val="22"/>
        </w:rPr>
        <w:t>po úspěšné přejímce zařízení v sídle</w:t>
      </w:r>
      <w:r w:rsidR="00564756">
        <w:rPr>
          <w:rFonts w:ascii="Century Gothic" w:hAnsi="Century Gothic" w:cs="Century Gothic"/>
          <w:bCs/>
          <w:sz w:val="22"/>
          <w:szCs w:val="22"/>
        </w:rPr>
        <w:t xml:space="preserve"> dodavatele na základě zápisu o </w:t>
      </w:r>
      <w:r w:rsidR="00EF60B8" w:rsidRPr="008F60DD">
        <w:rPr>
          <w:rFonts w:ascii="Century Gothic" w:hAnsi="Century Gothic" w:cs="Century Gothic"/>
          <w:bCs/>
          <w:sz w:val="22"/>
          <w:szCs w:val="22"/>
        </w:rPr>
        <w:t>provedení přejímky podepsaného zástupci obou smluvních stran</w:t>
      </w:r>
      <w:r w:rsidR="006373A8" w:rsidRPr="008F60DD">
        <w:rPr>
          <w:rFonts w:ascii="Century Gothic" w:hAnsi="Century Gothic" w:cs="Calibri"/>
          <w:sz w:val="22"/>
          <w:szCs w:val="22"/>
        </w:rPr>
        <w:t>,</w:t>
      </w:r>
    </w:p>
    <w:p w14:paraId="67BA2519" w14:textId="77777777" w:rsidR="00DB7EF8" w:rsidRPr="008F60DD" w:rsidRDefault="00B03B4C" w:rsidP="00255C28">
      <w:pPr>
        <w:tabs>
          <w:tab w:val="left" w:pos="1134"/>
        </w:tabs>
        <w:ind w:left="1134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c) </w:t>
      </w:r>
      <w:r w:rsidRPr="008F60DD">
        <w:rPr>
          <w:rFonts w:ascii="Century Gothic" w:hAnsi="Century Gothic" w:cs="Calibri"/>
          <w:sz w:val="22"/>
          <w:szCs w:val="22"/>
        </w:rPr>
        <w:tab/>
      </w:r>
      <w:r w:rsidR="006373A8" w:rsidRPr="008F60DD">
        <w:rPr>
          <w:rFonts w:ascii="Century Gothic" w:hAnsi="Century Gothic" w:cs="Calibri"/>
          <w:sz w:val="22"/>
          <w:szCs w:val="22"/>
        </w:rPr>
        <w:t xml:space="preserve">20 % ceny po předání předmětu smlouvy bez vad po oboustranném podpisu Protokolu o předání a převzetí předmětu smlouvy (čl. </w:t>
      </w:r>
      <w:r w:rsidR="00003F1E" w:rsidRPr="008F60DD">
        <w:rPr>
          <w:rFonts w:ascii="Century Gothic" w:hAnsi="Century Gothic" w:cs="Calibri"/>
          <w:sz w:val="22"/>
          <w:szCs w:val="22"/>
        </w:rPr>
        <w:t>7 odst. 2</w:t>
      </w:r>
      <w:r w:rsidR="006373A8" w:rsidRPr="008F60DD">
        <w:rPr>
          <w:rFonts w:ascii="Century Gothic" w:hAnsi="Century Gothic" w:cs="Calibri"/>
          <w:sz w:val="22"/>
          <w:szCs w:val="22"/>
        </w:rPr>
        <w:t>).</w:t>
      </w:r>
    </w:p>
    <w:p w14:paraId="6B2E23EB" w14:textId="77777777" w:rsidR="006373A8" w:rsidRPr="008F60DD" w:rsidRDefault="00B03B4C" w:rsidP="00255C28">
      <w:pPr>
        <w:tabs>
          <w:tab w:val="left" w:pos="567"/>
        </w:tabs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(4) </w:t>
      </w:r>
      <w:r w:rsidRPr="008F60DD">
        <w:rPr>
          <w:rFonts w:ascii="Century Gothic" w:hAnsi="Century Gothic" w:cs="Calibri"/>
          <w:sz w:val="22"/>
          <w:szCs w:val="22"/>
        </w:rPr>
        <w:tab/>
      </w:r>
      <w:r w:rsidR="006373A8" w:rsidRPr="008F60DD">
        <w:rPr>
          <w:rFonts w:ascii="Century Gothic" w:hAnsi="Century Gothic" w:cs="Calibri"/>
          <w:sz w:val="22"/>
          <w:szCs w:val="22"/>
        </w:rPr>
        <w:t xml:space="preserve">Cena bude hrazena na základě faktur prodávajícího, jejichž přílohou – kromě části ceny podle </w:t>
      </w:r>
      <w:r w:rsidR="005E41E2" w:rsidRPr="008F60DD">
        <w:rPr>
          <w:rFonts w:ascii="Century Gothic" w:hAnsi="Century Gothic" w:cs="Calibri"/>
          <w:sz w:val="22"/>
          <w:szCs w:val="22"/>
        </w:rPr>
        <w:t xml:space="preserve">odst. 3 </w:t>
      </w:r>
      <w:r w:rsidR="006373A8" w:rsidRPr="008F60DD">
        <w:rPr>
          <w:rFonts w:ascii="Century Gothic" w:hAnsi="Century Gothic" w:cs="Calibri"/>
          <w:sz w:val="22"/>
          <w:szCs w:val="22"/>
        </w:rPr>
        <w:t>písm. a) – bude vždy odpovídající protokol, nebo jeho kopie.</w:t>
      </w:r>
    </w:p>
    <w:p w14:paraId="6424E787" w14:textId="77777777" w:rsidR="006373A8" w:rsidRPr="008F60DD" w:rsidRDefault="00B03B4C" w:rsidP="00255C28">
      <w:pPr>
        <w:tabs>
          <w:tab w:val="left" w:pos="567"/>
        </w:tabs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(5) </w:t>
      </w:r>
      <w:r w:rsidRPr="008F60DD">
        <w:rPr>
          <w:rFonts w:ascii="Century Gothic" w:hAnsi="Century Gothic" w:cs="Calibri"/>
          <w:sz w:val="22"/>
          <w:szCs w:val="22"/>
        </w:rPr>
        <w:tab/>
      </w:r>
      <w:r w:rsidR="006373A8" w:rsidRPr="008F60DD">
        <w:rPr>
          <w:rFonts w:ascii="Century Gothic" w:hAnsi="Century Gothic" w:cs="Calibri"/>
          <w:sz w:val="22"/>
          <w:szCs w:val="22"/>
        </w:rPr>
        <w:t>Splatnost faktur prodávají</w:t>
      </w:r>
      <w:r w:rsidR="00003F1E" w:rsidRPr="008F60DD">
        <w:rPr>
          <w:rFonts w:ascii="Century Gothic" w:hAnsi="Century Gothic" w:cs="Calibri"/>
          <w:sz w:val="22"/>
          <w:szCs w:val="22"/>
        </w:rPr>
        <w:t>cí</w:t>
      </w:r>
      <w:r w:rsidR="006373A8" w:rsidRPr="008F60DD">
        <w:rPr>
          <w:rFonts w:ascii="Century Gothic" w:hAnsi="Century Gothic" w:cs="Calibri"/>
          <w:sz w:val="22"/>
          <w:szCs w:val="22"/>
        </w:rPr>
        <w:t xml:space="preserve">ho nebude kratší než 30 dnů. </w:t>
      </w:r>
    </w:p>
    <w:p w14:paraId="76D31B4D" w14:textId="77777777" w:rsidR="00D4316F" w:rsidRPr="008F60DD" w:rsidRDefault="00D4316F" w:rsidP="00B03B4C">
      <w:pPr>
        <w:suppressAutoHyphens/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14:paraId="1BCB6371" w14:textId="77777777" w:rsidR="005E41E2" w:rsidRPr="008F60DD" w:rsidRDefault="005E41E2" w:rsidP="00B03B4C">
      <w:pPr>
        <w:suppressAutoHyphens/>
        <w:jc w:val="both"/>
        <w:rPr>
          <w:rFonts w:ascii="Century Gothic" w:hAnsi="Century Gothic" w:cs="Calibri"/>
          <w:bCs/>
          <w:sz w:val="22"/>
          <w:szCs w:val="22"/>
        </w:rPr>
      </w:pPr>
      <w:r w:rsidRPr="008F60DD">
        <w:rPr>
          <w:rFonts w:ascii="Century Gothic" w:hAnsi="Century Gothic" w:cs="Calibri"/>
          <w:bCs/>
          <w:sz w:val="22"/>
          <w:szCs w:val="22"/>
        </w:rPr>
        <w:t>Článek 3</w:t>
      </w:r>
    </w:p>
    <w:p w14:paraId="64B2B34D" w14:textId="77777777" w:rsidR="00DB7EF8" w:rsidRPr="008F60DD" w:rsidRDefault="00DB7EF8" w:rsidP="00B03B4C">
      <w:pPr>
        <w:suppressAutoHyphens/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8F60DD">
        <w:rPr>
          <w:rFonts w:ascii="Century Gothic" w:hAnsi="Century Gothic" w:cs="Calibri"/>
          <w:b/>
          <w:bCs/>
          <w:sz w:val="22"/>
          <w:szCs w:val="22"/>
        </w:rPr>
        <w:t>Místo plnění</w:t>
      </w:r>
    </w:p>
    <w:p w14:paraId="3695753A" w14:textId="77777777" w:rsidR="00DB7EF8" w:rsidRPr="008F60DD" w:rsidRDefault="00DB7EF8" w:rsidP="00B03B4C">
      <w:pPr>
        <w:suppressAutoHyphens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Místem</w:t>
      </w:r>
      <w:r w:rsidR="00D4316F" w:rsidRPr="008F60DD">
        <w:rPr>
          <w:rFonts w:ascii="Century Gothic" w:hAnsi="Century Gothic" w:cs="Calibri"/>
          <w:sz w:val="22"/>
          <w:szCs w:val="22"/>
        </w:rPr>
        <w:t xml:space="preserve"> plnění</w:t>
      </w:r>
      <w:r w:rsidRPr="008F60DD">
        <w:rPr>
          <w:rFonts w:ascii="Century Gothic" w:hAnsi="Century Gothic" w:cs="Calibri"/>
          <w:sz w:val="22"/>
          <w:szCs w:val="22"/>
        </w:rPr>
        <w:t xml:space="preserve"> </w:t>
      </w:r>
      <w:r w:rsidR="00D4316F" w:rsidRPr="008F60DD">
        <w:rPr>
          <w:rFonts w:ascii="Century Gothic" w:hAnsi="Century Gothic" w:cs="Calibri"/>
          <w:sz w:val="22"/>
          <w:szCs w:val="22"/>
        </w:rPr>
        <w:t>je místo určené prodávajícím v areálu jeho sídla</w:t>
      </w:r>
      <w:r w:rsidR="00D0332D" w:rsidRPr="008F60DD">
        <w:rPr>
          <w:rFonts w:ascii="Century Gothic" w:hAnsi="Century Gothic" w:cs="Calibri"/>
          <w:sz w:val="22"/>
          <w:szCs w:val="22"/>
        </w:rPr>
        <w:t>.</w:t>
      </w:r>
    </w:p>
    <w:p w14:paraId="1EBF0D43" w14:textId="77777777" w:rsidR="00D4316F" w:rsidRPr="008F60DD" w:rsidRDefault="00D4316F" w:rsidP="00B03B4C">
      <w:pPr>
        <w:suppressAutoHyphens/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14:paraId="226C78FE" w14:textId="77777777" w:rsidR="005E41E2" w:rsidRPr="008F60DD" w:rsidRDefault="005E41E2" w:rsidP="00B03B4C">
      <w:pPr>
        <w:suppressAutoHyphens/>
        <w:jc w:val="both"/>
        <w:rPr>
          <w:rFonts w:ascii="Century Gothic" w:hAnsi="Century Gothic" w:cs="Calibri"/>
          <w:bCs/>
          <w:sz w:val="22"/>
          <w:szCs w:val="22"/>
        </w:rPr>
      </w:pPr>
      <w:r w:rsidRPr="008F60DD">
        <w:rPr>
          <w:rFonts w:ascii="Century Gothic" w:hAnsi="Century Gothic" w:cs="Calibri"/>
          <w:bCs/>
          <w:sz w:val="22"/>
          <w:szCs w:val="22"/>
        </w:rPr>
        <w:t>Článek 4</w:t>
      </w:r>
    </w:p>
    <w:p w14:paraId="366A5DD9" w14:textId="77777777" w:rsidR="00DB7EF8" w:rsidRPr="008F60DD" w:rsidRDefault="00DB7EF8" w:rsidP="00B03B4C">
      <w:pPr>
        <w:suppressAutoHyphens/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8F60DD">
        <w:rPr>
          <w:rFonts w:ascii="Century Gothic" w:hAnsi="Century Gothic" w:cs="Calibri"/>
          <w:b/>
          <w:bCs/>
          <w:sz w:val="22"/>
          <w:szCs w:val="22"/>
        </w:rPr>
        <w:t>Záruka za jakost</w:t>
      </w:r>
    </w:p>
    <w:p w14:paraId="299F22CD" w14:textId="77777777" w:rsidR="00D4316F" w:rsidRPr="008F60DD" w:rsidRDefault="00DB7EF8" w:rsidP="00255C28">
      <w:pPr>
        <w:numPr>
          <w:ilvl w:val="0"/>
          <w:numId w:val="32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Záruční doba počíná běžet dnem </w:t>
      </w:r>
      <w:r w:rsidR="00D4316F" w:rsidRPr="008F60DD">
        <w:rPr>
          <w:rFonts w:ascii="Century Gothic" w:hAnsi="Century Gothic" w:cs="Calibri"/>
          <w:sz w:val="22"/>
          <w:szCs w:val="22"/>
        </w:rPr>
        <w:t>převzetí předmětu smlouvy bez vad</w:t>
      </w:r>
      <w:r w:rsidRPr="008F60DD">
        <w:rPr>
          <w:rFonts w:ascii="Century Gothic" w:hAnsi="Century Gothic" w:cs="Calibri"/>
          <w:sz w:val="22"/>
          <w:szCs w:val="22"/>
        </w:rPr>
        <w:t xml:space="preserve">. </w:t>
      </w:r>
    </w:p>
    <w:p w14:paraId="5906EB90" w14:textId="77777777" w:rsidR="00D4316F" w:rsidRPr="008F60DD" w:rsidRDefault="00DB7EF8" w:rsidP="00255C28">
      <w:pPr>
        <w:numPr>
          <w:ilvl w:val="0"/>
          <w:numId w:val="32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Záruční doba činí 24 </w:t>
      </w:r>
      <w:r w:rsidR="00D4316F" w:rsidRPr="008F60DD">
        <w:rPr>
          <w:rFonts w:ascii="Century Gothic" w:hAnsi="Century Gothic" w:cs="Calibri"/>
          <w:sz w:val="22"/>
          <w:szCs w:val="22"/>
        </w:rPr>
        <w:t>měsíce</w:t>
      </w:r>
      <w:r w:rsidRPr="008F60DD">
        <w:rPr>
          <w:rFonts w:ascii="Century Gothic" w:hAnsi="Century Gothic" w:cs="Calibri"/>
          <w:sz w:val="22"/>
          <w:szCs w:val="22"/>
        </w:rPr>
        <w:t xml:space="preserve">. </w:t>
      </w:r>
    </w:p>
    <w:p w14:paraId="7987CC06" w14:textId="77777777" w:rsidR="00D4316F" w:rsidRPr="008F60DD" w:rsidRDefault="00D4316F" w:rsidP="00255C28">
      <w:pPr>
        <w:numPr>
          <w:ilvl w:val="0"/>
          <w:numId w:val="32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Předmětem </w:t>
      </w:r>
      <w:r w:rsidR="00EB7A8B" w:rsidRPr="008F60DD">
        <w:rPr>
          <w:rFonts w:ascii="Century Gothic" w:hAnsi="Century Gothic" w:cs="Calibri"/>
          <w:sz w:val="22"/>
          <w:szCs w:val="22"/>
        </w:rPr>
        <w:t xml:space="preserve">záruky za </w:t>
      </w:r>
      <w:r w:rsidR="00003F1E" w:rsidRPr="008F60DD">
        <w:rPr>
          <w:rFonts w:ascii="Century Gothic" w:hAnsi="Century Gothic" w:cs="Calibri"/>
          <w:sz w:val="22"/>
          <w:szCs w:val="22"/>
        </w:rPr>
        <w:t>jakost</w:t>
      </w:r>
      <w:r w:rsidR="00EB7A8B" w:rsidRPr="008F60DD">
        <w:rPr>
          <w:rFonts w:ascii="Century Gothic" w:hAnsi="Century Gothic" w:cs="Calibri"/>
          <w:sz w:val="22"/>
          <w:szCs w:val="22"/>
        </w:rPr>
        <w:t xml:space="preserve"> </w:t>
      </w:r>
      <w:r w:rsidRPr="008F60DD">
        <w:rPr>
          <w:rFonts w:ascii="Century Gothic" w:hAnsi="Century Gothic" w:cs="Calibri"/>
          <w:sz w:val="22"/>
          <w:szCs w:val="22"/>
        </w:rPr>
        <w:t>je plná funkčnost předmětu smlouvy po celou dobu záruční doby.</w:t>
      </w:r>
    </w:p>
    <w:p w14:paraId="69AB04C7" w14:textId="7405BB7F" w:rsidR="00D4316F" w:rsidRPr="008F60DD" w:rsidRDefault="00DB7EF8" w:rsidP="00255C28">
      <w:pPr>
        <w:numPr>
          <w:ilvl w:val="0"/>
          <w:numId w:val="32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Záruka se nevztahuje na poruchy a vady způsobené provozem v rozporu s provozním </w:t>
      </w:r>
      <w:r w:rsidR="00D4316F" w:rsidRPr="008F60DD">
        <w:rPr>
          <w:rFonts w:ascii="Century Gothic" w:hAnsi="Century Gothic" w:cs="Calibri"/>
          <w:sz w:val="22"/>
          <w:szCs w:val="22"/>
        </w:rPr>
        <w:t xml:space="preserve">manuálem </w:t>
      </w:r>
      <w:r w:rsidRPr="008F60DD">
        <w:rPr>
          <w:rFonts w:ascii="Century Gothic" w:hAnsi="Century Gothic" w:cs="Calibri"/>
          <w:sz w:val="22"/>
          <w:szCs w:val="22"/>
        </w:rPr>
        <w:t>zařízení, nevhodnou a nesprávnou obsluhou a údržbou zařízení a na spotřeb</w:t>
      </w:r>
      <w:r w:rsidR="00C52980" w:rsidRPr="008F60DD">
        <w:rPr>
          <w:rFonts w:ascii="Century Gothic" w:hAnsi="Century Gothic" w:cs="Calibri"/>
          <w:sz w:val="22"/>
          <w:szCs w:val="22"/>
        </w:rPr>
        <w:t>ní materiál.</w:t>
      </w:r>
    </w:p>
    <w:p w14:paraId="60E33735" w14:textId="77777777" w:rsidR="00D4316F" w:rsidRPr="008F60DD" w:rsidRDefault="006373A8" w:rsidP="00255C28">
      <w:pPr>
        <w:numPr>
          <w:ilvl w:val="0"/>
          <w:numId w:val="32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Nároky z </w:t>
      </w:r>
      <w:r w:rsidR="00EB7A8B" w:rsidRPr="008F60DD">
        <w:rPr>
          <w:rFonts w:ascii="Century Gothic" w:hAnsi="Century Gothic" w:cs="Calibri"/>
          <w:sz w:val="22"/>
          <w:szCs w:val="22"/>
        </w:rPr>
        <w:t>vad</w:t>
      </w:r>
      <w:r w:rsidRPr="008F60DD">
        <w:rPr>
          <w:rFonts w:ascii="Century Gothic" w:hAnsi="Century Gothic" w:cs="Calibri"/>
          <w:sz w:val="22"/>
          <w:szCs w:val="22"/>
        </w:rPr>
        <w:t xml:space="preserve"> se řídí, pokud nestanoví tato smlouva jinak, občanským zákoníkem.</w:t>
      </w:r>
    </w:p>
    <w:p w14:paraId="07C9E232" w14:textId="73E198EE" w:rsidR="00EB7A8B" w:rsidRPr="008F60DD" w:rsidRDefault="00EB7A8B" w:rsidP="00255C28">
      <w:pPr>
        <w:numPr>
          <w:ilvl w:val="0"/>
          <w:numId w:val="32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Pokud uplatní kupující jako nárok z vad odstranění vady, je povinen ji prodávající odstranit do </w:t>
      </w:r>
      <w:r w:rsidR="00C73338" w:rsidRPr="008F60DD">
        <w:rPr>
          <w:rFonts w:ascii="Century Gothic" w:hAnsi="Century Gothic" w:cs="Calibri"/>
          <w:sz w:val="22"/>
          <w:szCs w:val="22"/>
        </w:rPr>
        <w:t>14</w:t>
      </w:r>
      <w:r w:rsidRPr="008F60DD">
        <w:rPr>
          <w:rFonts w:ascii="Century Gothic" w:hAnsi="Century Gothic" w:cs="Calibri"/>
          <w:sz w:val="22"/>
          <w:szCs w:val="22"/>
        </w:rPr>
        <w:t xml:space="preserve"> dnů ode dne oznámení vady, jinak je kupující oprávněn na náklady prodávajícího vadu odstranit sám nebo ji nechat odstranit třetím subjektem. V jednotlivém případě se smluvní strany mohou dohodnout jinak.</w:t>
      </w:r>
    </w:p>
    <w:p w14:paraId="378DEAB8" w14:textId="658FE469" w:rsidR="00D4316F" w:rsidRPr="008F60DD" w:rsidRDefault="00DB7EF8" w:rsidP="00B03B4C">
      <w:pPr>
        <w:numPr>
          <w:ilvl w:val="0"/>
          <w:numId w:val="32"/>
        </w:numPr>
        <w:suppressAutoHyphens/>
        <w:ind w:left="567" w:hanging="567"/>
        <w:jc w:val="both"/>
        <w:rPr>
          <w:rFonts w:ascii="Century Gothic" w:hAnsi="Century Gothic" w:cs="Calibri"/>
          <w:spacing w:val="-2"/>
          <w:sz w:val="22"/>
          <w:szCs w:val="22"/>
        </w:rPr>
      </w:pPr>
      <w:r w:rsidRPr="008F60DD">
        <w:rPr>
          <w:rFonts w:ascii="Century Gothic" w:hAnsi="Century Gothic" w:cs="Calibri"/>
          <w:spacing w:val="-2"/>
          <w:sz w:val="22"/>
          <w:szCs w:val="22"/>
        </w:rPr>
        <w:t>Prodávající se zavazuje poskytovat pozáruční servis</w:t>
      </w:r>
      <w:r w:rsidR="00EB7A8B" w:rsidRPr="008F60DD">
        <w:rPr>
          <w:rFonts w:ascii="Century Gothic" w:hAnsi="Century Gothic" w:cs="Calibri"/>
          <w:spacing w:val="-2"/>
          <w:sz w:val="22"/>
          <w:szCs w:val="22"/>
        </w:rPr>
        <w:t xml:space="preserve"> za cenových podmínek obvyklých pro jiné zákazníky</w:t>
      </w:r>
      <w:r w:rsidR="00C52980" w:rsidRPr="008F60DD">
        <w:rPr>
          <w:rFonts w:ascii="Century Gothic" w:hAnsi="Century Gothic" w:cs="Calibri"/>
          <w:spacing w:val="-2"/>
          <w:sz w:val="22"/>
          <w:szCs w:val="22"/>
        </w:rPr>
        <w:t>.</w:t>
      </w:r>
    </w:p>
    <w:p w14:paraId="58879C9C" w14:textId="77777777" w:rsidR="00C52980" w:rsidRPr="008F60DD" w:rsidRDefault="00C52980" w:rsidP="00C52980">
      <w:pPr>
        <w:suppressAutoHyphens/>
        <w:ind w:left="567"/>
        <w:jc w:val="both"/>
        <w:rPr>
          <w:rFonts w:ascii="Century Gothic" w:hAnsi="Century Gothic" w:cs="Calibri"/>
          <w:spacing w:val="-2"/>
          <w:sz w:val="22"/>
          <w:szCs w:val="22"/>
        </w:rPr>
      </w:pPr>
    </w:p>
    <w:p w14:paraId="5A72561B" w14:textId="77777777" w:rsidR="005E41E2" w:rsidRPr="008F60DD" w:rsidRDefault="005E41E2" w:rsidP="00B03B4C">
      <w:pPr>
        <w:suppressAutoHyphens/>
        <w:jc w:val="both"/>
        <w:rPr>
          <w:rFonts w:ascii="Century Gothic" w:hAnsi="Century Gothic" w:cs="Calibri"/>
          <w:spacing w:val="-2"/>
          <w:sz w:val="22"/>
          <w:szCs w:val="22"/>
        </w:rPr>
      </w:pPr>
      <w:r w:rsidRPr="008F60DD">
        <w:rPr>
          <w:rFonts w:ascii="Century Gothic" w:hAnsi="Century Gothic" w:cs="Calibri"/>
          <w:spacing w:val="-2"/>
          <w:sz w:val="22"/>
          <w:szCs w:val="22"/>
        </w:rPr>
        <w:t>Článek 5</w:t>
      </w:r>
    </w:p>
    <w:p w14:paraId="6F5E2BAA" w14:textId="77777777" w:rsidR="00DB7EF8" w:rsidRPr="008F60DD" w:rsidRDefault="00EB7A8B" w:rsidP="00B03B4C">
      <w:pPr>
        <w:suppressAutoHyphens/>
        <w:jc w:val="both"/>
        <w:rPr>
          <w:rFonts w:ascii="Century Gothic" w:hAnsi="Century Gothic" w:cs="Calibri"/>
          <w:b/>
          <w:spacing w:val="-2"/>
          <w:sz w:val="22"/>
          <w:szCs w:val="22"/>
        </w:rPr>
      </w:pPr>
      <w:r w:rsidRPr="008F60DD">
        <w:rPr>
          <w:rFonts w:ascii="Century Gothic" w:hAnsi="Century Gothic" w:cs="Calibri"/>
          <w:b/>
          <w:spacing w:val="-2"/>
          <w:sz w:val="22"/>
          <w:szCs w:val="22"/>
        </w:rPr>
        <w:t xml:space="preserve">Další </w:t>
      </w:r>
      <w:r w:rsidR="00003F1E" w:rsidRPr="008F60DD">
        <w:rPr>
          <w:rFonts w:ascii="Century Gothic" w:hAnsi="Century Gothic" w:cs="Calibri"/>
          <w:b/>
          <w:spacing w:val="-2"/>
          <w:sz w:val="22"/>
          <w:szCs w:val="22"/>
        </w:rPr>
        <w:t>práva a povinnosti</w:t>
      </w:r>
    </w:p>
    <w:p w14:paraId="0ABDFB24" w14:textId="77777777" w:rsidR="00EB7A8B" w:rsidRPr="008F60DD" w:rsidRDefault="00EB7A8B" w:rsidP="00255C28">
      <w:pPr>
        <w:numPr>
          <w:ilvl w:val="0"/>
          <w:numId w:val="33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Kupující se stává vlastníkem předmětu smlouvy až po zaplacení celé kupní ceny včetně DPH.</w:t>
      </w:r>
    </w:p>
    <w:p w14:paraId="35585A96" w14:textId="77777777" w:rsidR="00EB7A8B" w:rsidRPr="008F60DD" w:rsidRDefault="00EB7A8B" w:rsidP="00255C28">
      <w:pPr>
        <w:numPr>
          <w:ilvl w:val="0"/>
          <w:numId w:val="33"/>
        </w:numPr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Nároky vyplývající z této smlouvy, zejména nárok na zaplacení kupní ceny, nesmí být podstoupeny bez předchozího písemného souhlasu obou smluvních stran třetí osobě.</w:t>
      </w:r>
    </w:p>
    <w:p w14:paraId="19980369" w14:textId="77777777" w:rsidR="00003F1E" w:rsidRPr="008F60DD" w:rsidRDefault="00003F1E" w:rsidP="00255C28">
      <w:pPr>
        <w:numPr>
          <w:ilvl w:val="0"/>
          <w:numId w:val="33"/>
        </w:numPr>
        <w:suppressAutoHyphens/>
        <w:ind w:left="567" w:hanging="567"/>
        <w:jc w:val="both"/>
        <w:rPr>
          <w:rFonts w:ascii="Century Gothic" w:hAnsi="Century Gothic" w:cs="Calibri"/>
          <w:bCs/>
          <w:sz w:val="22"/>
          <w:szCs w:val="22"/>
        </w:rPr>
      </w:pPr>
      <w:r w:rsidRPr="008F60DD">
        <w:rPr>
          <w:rFonts w:ascii="Century Gothic" w:hAnsi="Century Gothic" w:cs="Calibri"/>
          <w:bCs/>
          <w:sz w:val="22"/>
          <w:szCs w:val="22"/>
        </w:rPr>
        <w:t>Prodávající ke dni podpisu této smlouvy prohlašuje, že na něj nebyl podán insolvenční návrh ani vydáno rozhodnutí o úpadku a že je zcela způsobilý zejména věcně, personálně, technicky, finančně a svým know-how splnit řádně a včas závazky z této smlouvy.</w:t>
      </w:r>
    </w:p>
    <w:p w14:paraId="77C7A197" w14:textId="1FE39971" w:rsidR="00003F1E" w:rsidRPr="008F60DD" w:rsidRDefault="00003F1E" w:rsidP="00255C28">
      <w:pPr>
        <w:numPr>
          <w:ilvl w:val="0"/>
          <w:numId w:val="33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/>
          <w:sz w:val="22"/>
          <w:szCs w:val="22"/>
        </w:rPr>
        <w:t xml:space="preserve">V případě prodlení s plněním prodávajícího o více než </w:t>
      </w:r>
      <w:r w:rsidR="00C73338" w:rsidRPr="008F60DD">
        <w:rPr>
          <w:rFonts w:ascii="Century Gothic" w:hAnsi="Century Gothic"/>
          <w:sz w:val="22"/>
          <w:szCs w:val="22"/>
        </w:rPr>
        <w:t>30</w:t>
      </w:r>
      <w:r w:rsidRPr="008F60DD">
        <w:rPr>
          <w:rFonts w:ascii="Century Gothic" w:hAnsi="Century Gothic"/>
          <w:sz w:val="22"/>
          <w:szCs w:val="22"/>
        </w:rPr>
        <w:t xml:space="preserve"> dnů je oprávněn kupující od této smlouvy odstoupit.</w:t>
      </w:r>
    </w:p>
    <w:p w14:paraId="408F24E0" w14:textId="09C491E7" w:rsidR="00003F1E" w:rsidRPr="008F60DD" w:rsidRDefault="00003F1E" w:rsidP="00255C28">
      <w:pPr>
        <w:numPr>
          <w:ilvl w:val="0"/>
          <w:numId w:val="33"/>
        </w:numPr>
        <w:suppressAutoHyphens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Prodávající prohlašuje, že si je vědom skutečnos</w:t>
      </w:r>
      <w:r w:rsidR="003F58E1" w:rsidRPr="008F60DD">
        <w:rPr>
          <w:rFonts w:ascii="Century Gothic" w:hAnsi="Century Gothic" w:cs="Calibri"/>
          <w:sz w:val="22"/>
          <w:szCs w:val="22"/>
        </w:rPr>
        <w:t>ti, že podpisem této smlouvy se </w:t>
      </w:r>
      <w:r w:rsidRPr="008F60DD">
        <w:rPr>
          <w:rFonts w:ascii="Century Gothic" w:hAnsi="Century Gothic" w:cs="Calibri"/>
          <w:sz w:val="22"/>
          <w:szCs w:val="22"/>
        </w:rPr>
        <w:t xml:space="preserve">stává </w:t>
      </w:r>
      <w:r w:rsidRPr="008F60DD">
        <w:rPr>
          <w:rFonts w:ascii="Century Gothic" w:hAnsi="Century Gothic"/>
          <w:sz w:val="22"/>
          <w:szCs w:val="22"/>
        </w:rPr>
        <w:t>osobou povinnou spolupůsobit při výkonu finanční kontroly dle § 2 e) zákona č. 320/2001 Sb., o finanční kontrole ve veřejné správě, ve znění pozdějších předpisů a zavazuje se poskytnout součinnost subjektům provádějícím kontrolu v souvislosti s dotací, která byla přidělena kupujícímu na</w:t>
      </w:r>
      <w:r w:rsidR="003F58E1" w:rsidRPr="008F60DD">
        <w:rPr>
          <w:rFonts w:ascii="Century Gothic" w:hAnsi="Century Gothic"/>
          <w:sz w:val="22"/>
          <w:szCs w:val="22"/>
        </w:rPr>
        <w:t> </w:t>
      </w:r>
      <w:r w:rsidRPr="008F60DD">
        <w:rPr>
          <w:rFonts w:ascii="Century Gothic" w:hAnsi="Century Gothic"/>
          <w:sz w:val="22"/>
          <w:szCs w:val="22"/>
        </w:rPr>
        <w:t>projekt reg. č.: CZ.01.1.02/0.0/0.0/15_002/0003645 Rozšíření centra technologického vývoje pro aplikace v lé</w:t>
      </w:r>
      <w:r w:rsidR="003F58E1" w:rsidRPr="008F60DD">
        <w:rPr>
          <w:rFonts w:ascii="Century Gothic" w:hAnsi="Century Gothic"/>
          <w:sz w:val="22"/>
          <w:szCs w:val="22"/>
        </w:rPr>
        <w:t>kařských nanobiotechnologiích v </w:t>
      </w:r>
      <w:r w:rsidRPr="008F60DD">
        <w:rPr>
          <w:rFonts w:ascii="Century Gothic" w:hAnsi="Century Gothic"/>
          <w:sz w:val="22"/>
          <w:szCs w:val="22"/>
        </w:rPr>
        <w:t>rámci Operačního programu Podnikání a inovace pro konkurenceschopnost, zejména že jim poskytnout nezbytné doklady a informace týkající se dodavatelských činností souvisejících s uvedeným projektem.</w:t>
      </w:r>
    </w:p>
    <w:p w14:paraId="4E868B80" w14:textId="77777777" w:rsidR="00EB7A8B" w:rsidRPr="008F60DD" w:rsidRDefault="00EB7A8B" w:rsidP="00B03B4C">
      <w:pPr>
        <w:suppressAutoHyphens/>
        <w:jc w:val="both"/>
        <w:rPr>
          <w:rFonts w:ascii="Century Gothic" w:hAnsi="Century Gothic" w:cs="Calibri"/>
          <w:sz w:val="22"/>
          <w:szCs w:val="22"/>
        </w:rPr>
      </w:pPr>
    </w:p>
    <w:p w14:paraId="1AA29D72" w14:textId="77777777" w:rsidR="005E41E2" w:rsidRPr="008F60DD" w:rsidRDefault="005E41E2" w:rsidP="00B03B4C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Článek 6</w:t>
      </w:r>
    </w:p>
    <w:p w14:paraId="6B7EE020" w14:textId="77777777" w:rsidR="00DB7EF8" w:rsidRPr="008F60DD" w:rsidRDefault="00DB7EF8" w:rsidP="00B03B4C">
      <w:pPr>
        <w:jc w:val="both"/>
        <w:rPr>
          <w:rFonts w:ascii="Century Gothic" w:hAnsi="Century Gothic" w:cs="Calibri"/>
          <w:b/>
          <w:sz w:val="22"/>
          <w:szCs w:val="22"/>
        </w:rPr>
      </w:pPr>
      <w:r w:rsidRPr="008F60DD">
        <w:rPr>
          <w:rFonts w:ascii="Century Gothic" w:hAnsi="Century Gothic" w:cs="Calibri"/>
          <w:b/>
          <w:sz w:val="22"/>
          <w:szCs w:val="22"/>
        </w:rPr>
        <w:t xml:space="preserve">Lhůta </w:t>
      </w:r>
      <w:r w:rsidR="00EB7A8B" w:rsidRPr="008F60DD">
        <w:rPr>
          <w:rFonts w:ascii="Century Gothic" w:hAnsi="Century Gothic" w:cs="Calibri"/>
          <w:b/>
          <w:sz w:val="22"/>
          <w:szCs w:val="22"/>
        </w:rPr>
        <w:t xml:space="preserve">k </w:t>
      </w:r>
      <w:r w:rsidRPr="008F60DD">
        <w:rPr>
          <w:rFonts w:ascii="Century Gothic" w:hAnsi="Century Gothic" w:cs="Calibri"/>
          <w:b/>
          <w:sz w:val="22"/>
          <w:szCs w:val="22"/>
        </w:rPr>
        <w:t>plnění</w:t>
      </w:r>
      <w:r w:rsidR="00EB7A8B" w:rsidRPr="008F60DD">
        <w:rPr>
          <w:rFonts w:ascii="Century Gothic" w:hAnsi="Century Gothic" w:cs="Calibri"/>
          <w:b/>
          <w:sz w:val="22"/>
          <w:szCs w:val="22"/>
        </w:rPr>
        <w:t xml:space="preserve"> a předání a převzetí</w:t>
      </w:r>
      <w:r w:rsidR="00003F1E" w:rsidRPr="008F60DD">
        <w:rPr>
          <w:rFonts w:ascii="Century Gothic" w:hAnsi="Century Gothic" w:cs="Calibri"/>
          <w:b/>
          <w:sz w:val="22"/>
          <w:szCs w:val="22"/>
        </w:rPr>
        <w:t xml:space="preserve"> předmětu smlouvy</w:t>
      </w:r>
    </w:p>
    <w:p w14:paraId="7D6910ED" w14:textId="739C2663" w:rsidR="00DB7EF8" w:rsidRPr="008F60DD" w:rsidRDefault="00EB7A8B" w:rsidP="00255C28">
      <w:pPr>
        <w:numPr>
          <w:ilvl w:val="0"/>
          <w:numId w:val="34"/>
        </w:numPr>
        <w:ind w:left="567" w:hanging="567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Smlouva bude splněna do</w:t>
      </w:r>
      <w:r w:rsidR="00D4316F" w:rsidRPr="008F60DD">
        <w:rPr>
          <w:rFonts w:ascii="Century Gothic" w:hAnsi="Century Gothic" w:cs="Calibri"/>
          <w:sz w:val="22"/>
          <w:szCs w:val="22"/>
        </w:rPr>
        <w:t xml:space="preserve"> </w:t>
      </w:r>
      <w:r w:rsidR="00EF60B8" w:rsidRPr="008F60DD">
        <w:rPr>
          <w:rFonts w:ascii="Century Gothic" w:hAnsi="Century Gothic" w:cs="Calibri"/>
          <w:b/>
          <w:sz w:val="22"/>
          <w:szCs w:val="22"/>
        </w:rPr>
        <w:t>26</w:t>
      </w:r>
      <w:r w:rsidR="000D4CE8" w:rsidRPr="008F60DD">
        <w:rPr>
          <w:rFonts w:ascii="Century Gothic" w:hAnsi="Century Gothic" w:cs="Calibri"/>
          <w:b/>
          <w:sz w:val="22"/>
          <w:szCs w:val="22"/>
        </w:rPr>
        <w:t xml:space="preserve"> týdnů</w:t>
      </w:r>
      <w:r w:rsidR="000D4CE8" w:rsidRPr="008F60DD">
        <w:rPr>
          <w:rFonts w:ascii="Century Gothic" w:hAnsi="Century Gothic" w:cs="Calibri"/>
          <w:sz w:val="22"/>
          <w:szCs w:val="22"/>
        </w:rPr>
        <w:t xml:space="preserve"> ode dne </w:t>
      </w:r>
      <w:r w:rsidRPr="008F60DD">
        <w:rPr>
          <w:rFonts w:ascii="Century Gothic" w:hAnsi="Century Gothic" w:cs="Calibri"/>
          <w:sz w:val="22"/>
          <w:szCs w:val="22"/>
        </w:rPr>
        <w:t xml:space="preserve">svého </w:t>
      </w:r>
      <w:r w:rsidR="000D4CE8" w:rsidRPr="008F60DD">
        <w:rPr>
          <w:rFonts w:ascii="Century Gothic" w:hAnsi="Century Gothic" w:cs="Calibri"/>
          <w:sz w:val="22"/>
          <w:szCs w:val="22"/>
        </w:rPr>
        <w:t>podpisu.</w:t>
      </w:r>
    </w:p>
    <w:p w14:paraId="42BB441E" w14:textId="0A318F77" w:rsidR="00EB7A8B" w:rsidRPr="008F60DD" w:rsidRDefault="00C63F24" w:rsidP="00255C28">
      <w:pPr>
        <w:numPr>
          <w:ilvl w:val="0"/>
          <w:numId w:val="34"/>
        </w:numPr>
        <w:ind w:left="567" w:hanging="567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lastRenderedPageBreak/>
        <w:t xml:space="preserve">O </w:t>
      </w:r>
      <w:r w:rsidR="00003F1E" w:rsidRPr="008F60DD">
        <w:rPr>
          <w:rFonts w:ascii="Century Gothic" w:hAnsi="Century Gothic" w:cs="Calibri"/>
          <w:sz w:val="22"/>
          <w:szCs w:val="22"/>
        </w:rPr>
        <w:t xml:space="preserve">předání a převzetí předmětu smlouvy smluvní strany </w:t>
      </w:r>
      <w:r w:rsidRPr="008F60DD">
        <w:rPr>
          <w:rFonts w:ascii="Century Gothic" w:hAnsi="Century Gothic" w:cs="Calibri"/>
          <w:sz w:val="22"/>
          <w:szCs w:val="22"/>
        </w:rPr>
        <w:t xml:space="preserve">sepíší </w:t>
      </w:r>
      <w:r w:rsidR="00003F1E" w:rsidRPr="008F60DD">
        <w:rPr>
          <w:rFonts w:ascii="Century Gothic" w:hAnsi="Century Gothic" w:cs="Calibri"/>
          <w:sz w:val="22"/>
          <w:szCs w:val="22"/>
        </w:rPr>
        <w:t>Protokol o předání a převzetí předmětu smlouvy, který zejména bude deklarovat, že předmět smlouvy je přebírán bez vad.</w:t>
      </w:r>
    </w:p>
    <w:p w14:paraId="2530FBA8" w14:textId="7C4A8820" w:rsidR="00003F1E" w:rsidRPr="008F60DD" w:rsidRDefault="00003F1E" w:rsidP="00255C28">
      <w:pPr>
        <w:numPr>
          <w:ilvl w:val="0"/>
          <w:numId w:val="34"/>
        </w:numPr>
        <w:ind w:left="567" w:hanging="567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Pokud bude mít předávaný předmět smlouvy vady, je oprávněn kupující </w:t>
      </w:r>
      <w:r w:rsidR="00C63F24" w:rsidRPr="008F60DD">
        <w:rPr>
          <w:rFonts w:ascii="Century Gothic" w:hAnsi="Century Gothic" w:cs="Calibri"/>
          <w:sz w:val="22"/>
          <w:szCs w:val="22"/>
        </w:rPr>
        <w:t xml:space="preserve">odmítnout jej </w:t>
      </w:r>
      <w:r w:rsidRPr="008F60DD">
        <w:rPr>
          <w:rFonts w:ascii="Century Gothic" w:hAnsi="Century Gothic" w:cs="Calibri"/>
          <w:sz w:val="22"/>
          <w:szCs w:val="22"/>
        </w:rPr>
        <w:t>převzít. V takovém případě smluvní strany písemně popíší vady a</w:t>
      </w:r>
      <w:r w:rsidR="00C73338" w:rsidRPr="008F60DD">
        <w:rPr>
          <w:rFonts w:ascii="Century Gothic" w:hAnsi="Century Gothic" w:cs="Calibri"/>
          <w:sz w:val="22"/>
          <w:szCs w:val="22"/>
        </w:rPr>
        <w:t> </w:t>
      </w:r>
      <w:r w:rsidRPr="008F60DD">
        <w:rPr>
          <w:rFonts w:ascii="Century Gothic" w:hAnsi="Century Gothic" w:cs="Calibri"/>
          <w:sz w:val="22"/>
          <w:szCs w:val="22"/>
        </w:rPr>
        <w:t>dohodnou se na lhůtě k jejich odstranění, kterou nepředpokládají delší ne</w:t>
      </w:r>
      <w:r w:rsidR="003F58E1" w:rsidRPr="008F60DD">
        <w:rPr>
          <w:rFonts w:ascii="Century Gothic" w:hAnsi="Century Gothic" w:cs="Calibri"/>
          <w:sz w:val="22"/>
          <w:szCs w:val="22"/>
        </w:rPr>
        <w:t>ž 15 </w:t>
      </w:r>
      <w:r w:rsidRPr="008F60DD">
        <w:rPr>
          <w:rFonts w:ascii="Century Gothic" w:hAnsi="Century Gothic" w:cs="Calibri"/>
          <w:sz w:val="22"/>
          <w:szCs w:val="22"/>
        </w:rPr>
        <w:t>dnů.</w:t>
      </w:r>
      <w:r w:rsidR="00C63F24" w:rsidRPr="008F60DD">
        <w:rPr>
          <w:rFonts w:ascii="Century Gothic" w:hAnsi="Century Gothic" w:cs="Calibri"/>
          <w:sz w:val="22"/>
          <w:szCs w:val="22"/>
        </w:rPr>
        <w:t xml:space="preserve"> Po odstranění těchto vad smluvní strany postupují podle odst. 2.</w:t>
      </w:r>
    </w:p>
    <w:p w14:paraId="63331DD1" w14:textId="77777777" w:rsidR="00D0332D" w:rsidRPr="008F60DD" w:rsidRDefault="00D0332D" w:rsidP="00B03B4C">
      <w:pPr>
        <w:tabs>
          <w:tab w:val="left" w:pos="709"/>
          <w:tab w:val="left" w:pos="5954"/>
        </w:tabs>
        <w:contextualSpacing/>
        <w:jc w:val="both"/>
        <w:rPr>
          <w:rFonts w:ascii="Century Gothic" w:hAnsi="Century Gothic" w:cs="Calibri"/>
          <w:b/>
          <w:sz w:val="22"/>
          <w:szCs w:val="22"/>
        </w:rPr>
      </w:pPr>
    </w:p>
    <w:p w14:paraId="3B0BC733" w14:textId="77777777" w:rsidR="005E41E2" w:rsidRPr="008F60DD" w:rsidRDefault="005E41E2" w:rsidP="00B03B4C">
      <w:pPr>
        <w:tabs>
          <w:tab w:val="left" w:pos="567"/>
        </w:tabs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Článek 7</w:t>
      </w:r>
    </w:p>
    <w:p w14:paraId="4DE5B50F" w14:textId="77777777" w:rsidR="00DB7EF8" w:rsidRPr="008F60DD" w:rsidRDefault="00DB7EF8" w:rsidP="00B03B4C">
      <w:pPr>
        <w:tabs>
          <w:tab w:val="left" w:pos="567"/>
        </w:tabs>
        <w:jc w:val="both"/>
        <w:rPr>
          <w:rFonts w:ascii="Century Gothic" w:hAnsi="Century Gothic" w:cs="Calibri"/>
          <w:b/>
          <w:sz w:val="22"/>
          <w:szCs w:val="22"/>
        </w:rPr>
      </w:pPr>
      <w:r w:rsidRPr="008F60DD">
        <w:rPr>
          <w:rFonts w:ascii="Century Gothic" w:hAnsi="Century Gothic" w:cs="Calibri"/>
          <w:b/>
          <w:sz w:val="22"/>
          <w:szCs w:val="22"/>
        </w:rPr>
        <w:t>Smluvní pokuty</w:t>
      </w:r>
    </w:p>
    <w:p w14:paraId="005FEFDF" w14:textId="77777777" w:rsidR="005E41E2" w:rsidRPr="008F60DD" w:rsidRDefault="00DB7EF8" w:rsidP="00255C28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Kupující je oprávněn v případě nedodržení lhůty </w:t>
      </w:r>
      <w:r w:rsidR="007C112E" w:rsidRPr="008F60DD">
        <w:rPr>
          <w:rFonts w:ascii="Century Gothic" w:hAnsi="Century Gothic" w:cs="Calibri"/>
          <w:sz w:val="22"/>
          <w:szCs w:val="22"/>
        </w:rPr>
        <w:t>Závazného termínu splnění zakázky dle předchozího odstavce požadovat po prodávajícím smluvní pokutu ve výši 0,5 % z celkové ceny zakázky za každý byť jen započatý den prodlení.</w:t>
      </w:r>
      <w:r w:rsidRPr="008F60DD">
        <w:rPr>
          <w:rFonts w:ascii="Century Gothic" w:hAnsi="Century Gothic" w:cs="Calibri"/>
          <w:sz w:val="22"/>
          <w:szCs w:val="22"/>
        </w:rPr>
        <w:t xml:space="preserve"> </w:t>
      </w:r>
    </w:p>
    <w:p w14:paraId="7B81F54E" w14:textId="28C94851" w:rsidR="00DB7EF8" w:rsidRPr="008F60DD" w:rsidRDefault="0045541D" w:rsidP="00255C28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Prodávající</w:t>
      </w:r>
      <w:r w:rsidR="007C112E" w:rsidRPr="008F60DD">
        <w:rPr>
          <w:rFonts w:ascii="Century Gothic" w:hAnsi="Century Gothic" w:cs="Calibri"/>
          <w:sz w:val="22"/>
          <w:szCs w:val="22"/>
        </w:rPr>
        <w:t xml:space="preserve"> je oprávněn v případě prodlení </w:t>
      </w:r>
      <w:r w:rsidRPr="008F60DD">
        <w:rPr>
          <w:rFonts w:ascii="Century Gothic" w:hAnsi="Century Gothic" w:cs="Calibri"/>
          <w:sz w:val="22"/>
          <w:szCs w:val="22"/>
        </w:rPr>
        <w:t>kupujícího</w:t>
      </w:r>
      <w:r w:rsidR="007C112E" w:rsidRPr="008F60DD">
        <w:rPr>
          <w:rFonts w:ascii="Century Gothic" w:hAnsi="Century Gothic" w:cs="Calibri"/>
          <w:sz w:val="22"/>
          <w:szCs w:val="22"/>
        </w:rPr>
        <w:t xml:space="preserve"> s úhradou faktur požadovat po </w:t>
      </w:r>
      <w:r w:rsidRPr="008F60DD">
        <w:rPr>
          <w:rFonts w:ascii="Century Gothic" w:hAnsi="Century Gothic" w:cs="Calibri"/>
          <w:sz w:val="22"/>
          <w:szCs w:val="22"/>
        </w:rPr>
        <w:t>kupujícím</w:t>
      </w:r>
      <w:r w:rsidR="007C112E" w:rsidRPr="008F60DD">
        <w:rPr>
          <w:rFonts w:ascii="Century Gothic" w:hAnsi="Century Gothic" w:cs="Calibri"/>
          <w:sz w:val="22"/>
          <w:szCs w:val="22"/>
        </w:rPr>
        <w:t xml:space="preserve"> smluvní pokutu ve výši 0,05 % z dlužné částky za každý byť jen započatý den prodlení.</w:t>
      </w:r>
      <w:r w:rsidR="00DB7EF8" w:rsidRPr="008F60DD">
        <w:rPr>
          <w:rFonts w:ascii="Century Gothic" w:hAnsi="Century Gothic" w:cs="Calibri"/>
          <w:sz w:val="22"/>
          <w:szCs w:val="22"/>
        </w:rPr>
        <w:t xml:space="preserve"> Dnem úhrady fa</w:t>
      </w:r>
      <w:r w:rsidR="003F58E1" w:rsidRPr="008F60DD">
        <w:rPr>
          <w:rFonts w:ascii="Century Gothic" w:hAnsi="Century Gothic" w:cs="Calibri"/>
          <w:sz w:val="22"/>
          <w:szCs w:val="22"/>
        </w:rPr>
        <w:t>ktury je den připsání částky na </w:t>
      </w:r>
      <w:r w:rsidR="00DB7EF8" w:rsidRPr="008F60DD">
        <w:rPr>
          <w:rFonts w:ascii="Century Gothic" w:hAnsi="Century Gothic" w:cs="Calibri"/>
          <w:sz w:val="22"/>
          <w:szCs w:val="22"/>
        </w:rPr>
        <w:t>účet prodávajícího.</w:t>
      </w:r>
    </w:p>
    <w:p w14:paraId="43ACB37D" w14:textId="77777777" w:rsidR="005E41E2" w:rsidRPr="008F60DD" w:rsidRDefault="005E41E2" w:rsidP="00255C28">
      <w:pPr>
        <w:tabs>
          <w:tab w:val="left" w:pos="567"/>
        </w:tabs>
        <w:ind w:left="567"/>
        <w:jc w:val="both"/>
        <w:rPr>
          <w:rFonts w:ascii="Century Gothic" w:hAnsi="Century Gothic" w:cs="Calibri"/>
          <w:sz w:val="22"/>
          <w:szCs w:val="22"/>
        </w:rPr>
      </w:pPr>
    </w:p>
    <w:p w14:paraId="536E97E7" w14:textId="77777777" w:rsidR="005E41E2" w:rsidRPr="008F60DD" w:rsidRDefault="005E41E2" w:rsidP="00B03B4C">
      <w:pPr>
        <w:tabs>
          <w:tab w:val="left" w:pos="0"/>
          <w:tab w:val="left" w:pos="567"/>
        </w:tabs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Článek 8</w:t>
      </w:r>
    </w:p>
    <w:p w14:paraId="54C65C6C" w14:textId="77777777" w:rsidR="00DB7EF8" w:rsidRPr="008F60DD" w:rsidRDefault="00DB7EF8" w:rsidP="00B03B4C">
      <w:pPr>
        <w:tabs>
          <w:tab w:val="left" w:pos="0"/>
          <w:tab w:val="left" w:pos="567"/>
        </w:tabs>
        <w:jc w:val="both"/>
        <w:rPr>
          <w:rFonts w:ascii="Century Gothic" w:hAnsi="Century Gothic" w:cs="Calibri"/>
          <w:b/>
          <w:sz w:val="22"/>
          <w:szCs w:val="22"/>
        </w:rPr>
      </w:pPr>
      <w:r w:rsidRPr="008F60DD">
        <w:rPr>
          <w:rFonts w:ascii="Century Gothic" w:hAnsi="Century Gothic" w:cs="Calibri"/>
          <w:b/>
          <w:sz w:val="22"/>
          <w:szCs w:val="22"/>
        </w:rPr>
        <w:t>Závěrečná ustanovení</w:t>
      </w:r>
    </w:p>
    <w:p w14:paraId="58D47D77" w14:textId="77777777" w:rsidR="00DB7EF8" w:rsidRPr="008F60DD" w:rsidRDefault="00DB7EF8" w:rsidP="00255C28">
      <w:pPr>
        <w:numPr>
          <w:ilvl w:val="0"/>
          <w:numId w:val="36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 xml:space="preserve">Smlouva nabývá účinnosti dnem podpisu oběma smluvními stranami. Změnu či doplnění </w:t>
      </w:r>
      <w:r w:rsidR="005E41E2" w:rsidRPr="008F60DD">
        <w:rPr>
          <w:rFonts w:ascii="Century Gothic" w:hAnsi="Century Gothic" w:cs="Calibri"/>
          <w:sz w:val="22"/>
          <w:szCs w:val="22"/>
        </w:rPr>
        <w:t xml:space="preserve">textu </w:t>
      </w:r>
      <w:r w:rsidRPr="008F60DD">
        <w:rPr>
          <w:rFonts w:ascii="Century Gothic" w:hAnsi="Century Gothic" w:cs="Calibri"/>
          <w:sz w:val="22"/>
          <w:szCs w:val="22"/>
        </w:rPr>
        <w:t>smlouvy lze učinit pouze písemným dodatkem této smlouvy, podepsaným oběma smluvními stranami.</w:t>
      </w:r>
    </w:p>
    <w:p w14:paraId="1CE83C8E" w14:textId="77777777" w:rsidR="00B84083" w:rsidRPr="008F60DD" w:rsidRDefault="00DB7EF8" w:rsidP="00B84083">
      <w:pPr>
        <w:numPr>
          <w:ilvl w:val="0"/>
          <w:numId w:val="36"/>
        </w:numPr>
        <w:suppressAutoHyphens/>
        <w:ind w:left="567" w:hanging="567"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Smlouva je vyhotovena ve dvou stejnopisech, přičemž každá smluvní strana obdrží po jednom výtisku.</w:t>
      </w:r>
    </w:p>
    <w:p w14:paraId="724D181D" w14:textId="1467C245" w:rsidR="00B84083" w:rsidRPr="008F60DD" w:rsidRDefault="00B84083" w:rsidP="00B84083">
      <w:pPr>
        <w:numPr>
          <w:ilvl w:val="0"/>
          <w:numId w:val="36"/>
        </w:numPr>
        <w:suppressAutoHyphens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8F60DD">
        <w:rPr>
          <w:rFonts w:ascii="Century Gothic" w:hAnsi="Century Gothic" w:cs="Arial"/>
          <w:sz w:val="22"/>
          <w:szCs w:val="22"/>
        </w:rPr>
        <w:t xml:space="preserve">Kupující je oprávněn od smlouvy odstoupit, pokud: </w:t>
      </w:r>
    </w:p>
    <w:p w14:paraId="12A2FBC3" w14:textId="6E132A28" w:rsidR="00B84083" w:rsidRPr="008F60DD" w:rsidRDefault="00B84083" w:rsidP="00B84083">
      <w:pPr>
        <w:pStyle w:val="Nadpis3"/>
        <w:keepNext w:val="0"/>
        <w:widowControl w:val="0"/>
        <w:numPr>
          <w:ilvl w:val="0"/>
          <w:numId w:val="43"/>
        </w:numPr>
        <w:spacing w:before="0" w:after="0"/>
        <w:ind w:left="1134" w:hanging="567"/>
        <w:rPr>
          <w:rFonts w:cs="Arial"/>
          <w:b w:val="0"/>
          <w:bCs w:val="0"/>
          <w:sz w:val="22"/>
          <w:szCs w:val="22"/>
        </w:rPr>
      </w:pPr>
      <w:r w:rsidRPr="008F60DD">
        <w:rPr>
          <w:rFonts w:cs="Arial"/>
          <w:b w:val="0"/>
          <w:sz w:val="22"/>
          <w:szCs w:val="22"/>
        </w:rPr>
        <w:t xml:space="preserve">bude </w:t>
      </w:r>
      <w:r w:rsidR="00564756">
        <w:rPr>
          <w:rFonts w:cs="Arial"/>
          <w:b w:val="0"/>
          <w:sz w:val="22"/>
          <w:szCs w:val="22"/>
        </w:rPr>
        <w:t>prodávající</w:t>
      </w:r>
      <w:r w:rsidRPr="008F60DD">
        <w:rPr>
          <w:rFonts w:cs="Arial"/>
          <w:b w:val="0"/>
          <w:sz w:val="22"/>
          <w:szCs w:val="22"/>
        </w:rPr>
        <w:t xml:space="preserve"> v prodlení s plněním závazků z této smlouvy o více než </w:t>
      </w:r>
      <w:r w:rsidRPr="00564756">
        <w:rPr>
          <w:rFonts w:cs="Arial"/>
          <w:b w:val="0"/>
          <w:sz w:val="22"/>
          <w:szCs w:val="22"/>
        </w:rPr>
        <w:t>30</w:t>
      </w:r>
      <w:r w:rsidRPr="008F60DD">
        <w:rPr>
          <w:rFonts w:cs="Arial"/>
          <w:b w:val="0"/>
          <w:sz w:val="22"/>
          <w:szCs w:val="22"/>
        </w:rPr>
        <w:t xml:space="preserve"> dnů, nebo</w:t>
      </w:r>
    </w:p>
    <w:p w14:paraId="67970E02" w14:textId="47C018A2" w:rsidR="00B84083" w:rsidRPr="008F60DD" w:rsidRDefault="00B84083" w:rsidP="00B84083">
      <w:pPr>
        <w:pStyle w:val="Nadpis3"/>
        <w:keepNext w:val="0"/>
        <w:widowControl w:val="0"/>
        <w:numPr>
          <w:ilvl w:val="0"/>
          <w:numId w:val="43"/>
        </w:numPr>
        <w:spacing w:before="0" w:after="0"/>
        <w:ind w:left="1134" w:hanging="567"/>
        <w:rPr>
          <w:rFonts w:cs="Arial"/>
          <w:b w:val="0"/>
          <w:sz w:val="22"/>
          <w:szCs w:val="22"/>
        </w:rPr>
      </w:pPr>
      <w:r w:rsidRPr="008F60DD">
        <w:rPr>
          <w:rFonts w:cs="Arial"/>
          <w:b w:val="0"/>
          <w:sz w:val="22"/>
          <w:szCs w:val="22"/>
        </w:rPr>
        <w:t xml:space="preserve">předmět smlouvy nebude odpovídat kritériím uvedeným v čl. 2 </w:t>
      </w:r>
      <w:r w:rsidRPr="008F60DD">
        <w:rPr>
          <w:rStyle w:val="Siln"/>
          <w:rFonts w:cs="Arial"/>
          <w:sz w:val="22"/>
          <w:szCs w:val="22"/>
        </w:rPr>
        <w:t>zadávací dokumentace obsažené v příloze č. 1</w:t>
      </w:r>
      <w:r w:rsidRPr="008F60DD">
        <w:rPr>
          <w:rFonts w:cs="Arial"/>
          <w:b w:val="0"/>
          <w:sz w:val="22"/>
          <w:szCs w:val="22"/>
        </w:rPr>
        <w:t>, nebo</w:t>
      </w:r>
    </w:p>
    <w:p w14:paraId="30CDA938" w14:textId="77777777" w:rsidR="00B84083" w:rsidRPr="008F60DD" w:rsidRDefault="00B84083" w:rsidP="00B84083">
      <w:pPr>
        <w:pStyle w:val="Nadpis3"/>
        <w:keepNext w:val="0"/>
        <w:widowControl w:val="0"/>
        <w:numPr>
          <w:ilvl w:val="0"/>
          <w:numId w:val="43"/>
        </w:numPr>
        <w:spacing w:before="0" w:after="0"/>
        <w:ind w:left="1134" w:hanging="567"/>
        <w:rPr>
          <w:rFonts w:cs="Arial"/>
          <w:b w:val="0"/>
          <w:sz w:val="22"/>
          <w:szCs w:val="22"/>
        </w:rPr>
      </w:pPr>
      <w:r w:rsidRPr="008F60DD">
        <w:rPr>
          <w:rFonts w:cs="Arial"/>
          <w:b w:val="0"/>
          <w:sz w:val="22"/>
          <w:szCs w:val="22"/>
        </w:rPr>
        <w:t>pokud právo odstoupit od smlouvy vyplývá z právního předpisu.“</w:t>
      </w:r>
    </w:p>
    <w:p w14:paraId="660ED38B" w14:textId="13D78641" w:rsidR="00DB7EF8" w:rsidRPr="008F60DD" w:rsidRDefault="00DB7EF8" w:rsidP="00B84083">
      <w:pPr>
        <w:pStyle w:val="Nadpis3"/>
        <w:keepNext w:val="0"/>
        <w:widowControl w:val="0"/>
        <w:numPr>
          <w:ilvl w:val="0"/>
          <w:numId w:val="36"/>
        </w:numPr>
        <w:spacing w:before="0" w:after="0"/>
        <w:ind w:left="567" w:hanging="567"/>
        <w:rPr>
          <w:b w:val="0"/>
          <w:sz w:val="22"/>
          <w:szCs w:val="22"/>
        </w:rPr>
      </w:pPr>
      <w:r w:rsidRPr="008F60DD">
        <w:rPr>
          <w:rFonts w:cs="Calibri"/>
          <w:b w:val="0"/>
          <w:sz w:val="22"/>
          <w:szCs w:val="22"/>
        </w:rPr>
        <w:t>Součástí této smlouvy j</w:t>
      </w:r>
      <w:r w:rsidR="00255C28" w:rsidRPr="008F60DD">
        <w:rPr>
          <w:rFonts w:cs="Calibri"/>
          <w:b w:val="0"/>
          <w:sz w:val="22"/>
          <w:szCs w:val="22"/>
        </w:rPr>
        <w:t>sou přílohy, na které tato smlouva odkazuje</w:t>
      </w:r>
      <w:r w:rsidRPr="008F60DD">
        <w:rPr>
          <w:rFonts w:cs="Calibri"/>
          <w:b w:val="0"/>
          <w:sz w:val="22"/>
          <w:szCs w:val="22"/>
        </w:rPr>
        <w:t xml:space="preserve">. Smluvní strany prohlašují, že </w:t>
      </w:r>
      <w:r w:rsidR="00255C28" w:rsidRPr="008F60DD">
        <w:rPr>
          <w:rFonts w:cs="Calibri"/>
          <w:b w:val="0"/>
          <w:sz w:val="22"/>
          <w:szCs w:val="22"/>
        </w:rPr>
        <w:t>jsou jim</w:t>
      </w:r>
      <w:r w:rsidRPr="008F60DD">
        <w:rPr>
          <w:rFonts w:cs="Calibri"/>
          <w:b w:val="0"/>
          <w:sz w:val="22"/>
          <w:szCs w:val="22"/>
        </w:rPr>
        <w:t xml:space="preserve"> tyto dokumenty známy a jsou zcela srozuměny s jejich obsahem a přikládají je k této smlouvě. V případě rozporu má přednost tato smlouva, poté zadávací dokumentace před nabídkou.</w:t>
      </w:r>
    </w:p>
    <w:p w14:paraId="61D673C1" w14:textId="77777777" w:rsidR="00DB7EF8" w:rsidRPr="008F60DD" w:rsidRDefault="00DB7EF8" w:rsidP="00B03B4C">
      <w:pPr>
        <w:jc w:val="both"/>
        <w:rPr>
          <w:rFonts w:ascii="Century Gothic" w:hAnsi="Century Gothic" w:cs="Calibri"/>
          <w:sz w:val="22"/>
          <w:szCs w:val="22"/>
        </w:rPr>
      </w:pPr>
    </w:p>
    <w:p w14:paraId="7B23A168" w14:textId="77777777" w:rsidR="00DB7EF8" w:rsidRPr="008F60DD" w:rsidRDefault="00DB7EF8" w:rsidP="00B03B4C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Seznam příloh:</w:t>
      </w:r>
    </w:p>
    <w:p w14:paraId="20F3FB02" w14:textId="551F9D30" w:rsidR="00DB7EF8" w:rsidRPr="008F60DD" w:rsidRDefault="00DB7EF8" w:rsidP="00B03B4C">
      <w:pPr>
        <w:ind w:left="1410" w:hanging="1410"/>
        <w:contextualSpacing/>
        <w:jc w:val="both"/>
        <w:rPr>
          <w:rFonts w:ascii="Century Gothic" w:hAnsi="Century Gothic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Příloha č. 1:</w:t>
      </w:r>
      <w:r w:rsidRPr="008F60DD">
        <w:rPr>
          <w:rFonts w:ascii="Century Gothic" w:hAnsi="Century Gothic" w:cs="Calibri"/>
          <w:sz w:val="22"/>
          <w:szCs w:val="22"/>
        </w:rPr>
        <w:tab/>
        <w:t xml:space="preserve"> </w:t>
      </w:r>
      <w:r w:rsidRPr="008F60DD">
        <w:rPr>
          <w:rFonts w:ascii="Century Gothic" w:hAnsi="Century Gothic" w:cs="Calibri"/>
          <w:bCs/>
          <w:sz w:val="22"/>
          <w:szCs w:val="22"/>
        </w:rPr>
        <w:t>zadávací dokumentace na „</w:t>
      </w:r>
      <w:r w:rsidR="00EF60B8" w:rsidRPr="008F60DD">
        <w:rPr>
          <w:rFonts w:ascii="Century Gothic" w:hAnsi="Century Gothic"/>
          <w:sz w:val="22"/>
          <w:szCs w:val="22"/>
        </w:rPr>
        <w:t>Laboratorní sprejová sušárna</w:t>
      </w:r>
      <w:r w:rsidRPr="008F60DD">
        <w:rPr>
          <w:rFonts w:ascii="Century Gothic" w:hAnsi="Century Gothic"/>
          <w:sz w:val="22"/>
          <w:szCs w:val="22"/>
        </w:rPr>
        <w:t xml:space="preserve">“ v rámci projektu </w:t>
      </w:r>
      <w:r w:rsidR="00D0332D" w:rsidRPr="008F60DD">
        <w:rPr>
          <w:rFonts w:ascii="Century Gothic" w:hAnsi="Century Gothic"/>
          <w:sz w:val="22"/>
          <w:szCs w:val="22"/>
        </w:rPr>
        <w:t xml:space="preserve">reg. č.: CZ.01.1.02/0.0/0.0/15_002/0003645 „Rozšíření centra technologického vývoje pro aplikace v lékařských nanobiotechnologiích“ v rámci </w:t>
      </w:r>
      <w:r w:rsidR="003F58E1" w:rsidRPr="008F60DD">
        <w:rPr>
          <w:rFonts w:ascii="Century Gothic" w:hAnsi="Century Gothic"/>
          <w:sz w:val="22"/>
          <w:szCs w:val="22"/>
        </w:rPr>
        <w:t>Operačního programu Podnikání a </w:t>
      </w:r>
      <w:r w:rsidR="00D0332D" w:rsidRPr="008F60DD">
        <w:rPr>
          <w:rFonts w:ascii="Century Gothic" w:hAnsi="Century Gothic"/>
          <w:sz w:val="22"/>
          <w:szCs w:val="22"/>
        </w:rPr>
        <w:t>inovace pro konkurenceschopnost</w:t>
      </w:r>
    </w:p>
    <w:p w14:paraId="4AF148AD" w14:textId="77777777" w:rsidR="00DB7EF8" w:rsidRPr="008F60DD" w:rsidRDefault="00DB7EF8" w:rsidP="00B03B4C">
      <w:pPr>
        <w:contextualSpacing/>
        <w:jc w:val="both"/>
        <w:rPr>
          <w:rFonts w:ascii="Century Gothic" w:hAnsi="Century Gothic" w:cs="Calibri"/>
          <w:sz w:val="22"/>
          <w:szCs w:val="22"/>
        </w:rPr>
      </w:pPr>
    </w:p>
    <w:p w14:paraId="257E0398" w14:textId="77777777" w:rsidR="00DB7EF8" w:rsidRPr="008F60DD" w:rsidRDefault="00DB7EF8" w:rsidP="00B03B4C">
      <w:pPr>
        <w:ind w:left="1410" w:hanging="1410"/>
        <w:contextualSpacing/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Příloha č. 2:</w:t>
      </w:r>
      <w:r w:rsidRPr="008F60DD">
        <w:rPr>
          <w:rFonts w:ascii="Century Gothic" w:hAnsi="Century Gothic" w:cs="Calibri"/>
          <w:sz w:val="22"/>
          <w:szCs w:val="22"/>
        </w:rPr>
        <w:tab/>
        <w:t xml:space="preserve">nabídka prodávajícího </w:t>
      </w:r>
      <w:r w:rsidR="00255C28" w:rsidRPr="008F60DD">
        <w:rPr>
          <w:rFonts w:ascii="Century Gothic" w:hAnsi="Century Gothic" w:cs="Calibri"/>
          <w:sz w:val="22"/>
          <w:szCs w:val="22"/>
        </w:rPr>
        <w:t>ze dne</w:t>
      </w:r>
      <w:r w:rsidRPr="008F60DD">
        <w:rPr>
          <w:rFonts w:ascii="Century Gothic" w:hAnsi="Century Gothic" w:cs="Calibri"/>
          <w:sz w:val="22"/>
          <w:szCs w:val="22"/>
        </w:rPr>
        <w:t xml:space="preserve"> </w:t>
      </w:r>
      <w:r w:rsidRPr="008F60DD">
        <w:rPr>
          <w:rFonts w:ascii="Century Gothic" w:hAnsi="Century Gothic" w:cs="Calibri"/>
          <w:sz w:val="22"/>
          <w:szCs w:val="22"/>
          <w:highlight w:val="yellow"/>
        </w:rPr>
        <w:t>…</w:t>
      </w:r>
    </w:p>
    <w:p w14:paraId="6E5CA386" w14:textId="77777777" w:rsidR="00DB7EF8" w:rsidRPr="008F60DD" w:rsidRDefault="00DB7EF8" w:rsidP="009E5D47">
      <w:pPr>
        <w:ind w:left="1410" w:hanging="1410"/>
        <w:contextualSpacing/>
        <w:jc w:val="both"/>
        <w:rPr>
          <w:rFonts w:ascii="Century Gothic" w:hAnsi="Century Gothic"/>
          <w:sz w:val="22"/>
          <w:szCs w:val="22"/>
        </w:rPr>
      </w:pPr>
    </w:p>
    <w:p w14:paraId="72FA4C8E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</w:p>
    <w:p w14:paraId="0757CD9D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t>V Dolní Dobrouči dne ……………….</w:t>
      </w:r>
      <w:r w:rsidRPr="008F60DD">
        <w:rPr>
          <w:rFonts w:ascii="Century Gothic" w:hAnsi="Century Gothic" w:cs="Calibri"/>
          <w:sz w:val="22"/>
          <w:szCs w:val="22"/>
        </w:rPr>
        <w:tab/>
      </w:r>
      <w:r w:rsidRPr="008F60DD">
        <w:rPr>
          <w:rFonts w:ascii="Century Gothic" w:hAnsi="Century Gothic" w:cs="Calibri"/>
          <w:sz w:val="22"/>
          <w:szCs w:val="22"/>
        </w:rPr>
        <w:tab/>
        <w:t>V …………………………..</w:t>
      </w:r>
      <w:r w:rsidR="007D7CF3" w:rsidRPr="008F60DD">
        <w:rPr>
          <w:rFonts w:ascii="Century Gothic" w:hAnsi="Century Gothic" w:cs="Calibri"/>
          <w:sz w:val="22"/>
          <w:szCs w:val="22"/>
        </w:rPr>
        <w:t xml:space="preserve"> </w:t>
      </w:r>
      <w:r w:rsidRPr="008F60DD">
        <w:rPr>
          <w:rFonts w:ascii="Century Gothic" w:hAnsi="Century Gothic" w:cs="Calibri"/>
          <w:sz w:val="22"/>
          <w:szCs w:val="22"/>
        </w:rPr>
        <w:t>dne …………..</w:t>
      </w:r>
    </w:p>
    <w:p w14:paraId="4E77B469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</w:p>
    <w:p w14:paraId="6150F8B5" w14:textId="77777777" w:rsidR="00DB7EF8" w:rsidRPr="008F60DD" w:rsidRDefault="00DB7EF8" w:rsidP="009E5D47">
      <w:pPr>
        <w:jc w:val="both"/>
        <w:rPr>
          <w:rFonts w:ascii="Century Gothic" w:hAnsi="Century Gothic" w:cs="Calibri"/>
          <w:sz w:val="22"/>
          <w:szCs w:val="22"/>
        </w:rPr>
      </w:pPr>
      <w:r w:rsidRPr="008F60DD">
        <w:rPr>
          <w:rFonts w:ascii="Century Gothic" w:hAnsi="Century Gothic" w:cs="Calibri"/>
          <w:sz w:val="22"/>
          <w:szCs w:val="22"/>
        </w:rPr>
        <w:lastRenderedPageBreak/>
        <w:tab/>
      </w:r>
      <w:r w:rsidRPr="008F60DD">
        <w:rPr>
          <w:rFonts w:ascii="Century Gothic" w:hAnsi="Century Gothic" w:cs="Calibri"/>
          <w:sz w:val="22"/>
          <w:szCs w:val="22"/>
        </w:rPr>
        <w:tab/>
      </w:r>
      <w:r w:rsidRPr="008F60DD">
        <w:rPr>
          <w:rFonts w:ascii="Century Gothic" w:hAnsi="Century Gothic" w:cs="Calibri"/>
          <w:sz w:val="22"/>
          <w:szCs w:val="22"/>
        </w:rPr>
        <w:tab/>
      </w:r>
      <w:r w:rsidRPr="008F60DD">
        <w:rPr>
          <w:rFonts w:ascii="Century Gothic" w:hAnsi="Century Gothic" w:cs="Calibri"/>
          <w:sz w:val="22"/>
          <w:szCs w:val="22"/>
        </w:rPr>
        <w:tab/>
      </w:r>
    </w:p>
    <w:tbl>
      <w:tblPr>
        <w:tblW w:w="9921" w:type="dxa"/>
        <w:tblLook w:val="04A0" w:firstRow="1" w:lastRow="0" w:firstColumn="1" w:lastColumn="0" w:noHBand="0" w:noVBand="1"/>
      </w:tblPr>
      <w:tblGrid>
        <w:gridCol w:w="5070"/>
        <w:gridCol w:w="4851"/>
      </w:tblGrid>
      <w:tr w:rsidR="008F60DD" w:rsidRPr="008F60DD" w14:paraId="14D67C2A" w14:textId="77777777" w:rsidTr="00255C28">
        <w:trPr>
          <w:trHeight w:val="764"/>
        </w:trPr>
        <w:tc>
          <w:tcPr>
            <w:tcW w:w="5070" w:type="dxa"/>
            <w:shd w:val="clear" w:color="auto" w:fill="auto"/>
          </w:tcPr>
          <w:p w14:paraId="7A622C6A" w14:textId="77777777" w:rsidR="007D7CF3" w:rsidRPr="008F60DD" w:rsidRDefault="00DB7EF8" w:rsidP="009E5D47">
            <w:pPr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Za kupujícího:</w:t>
            </w:r>
          </w:p>
          <w:p w14:paraId="234ED798" w14:textId="77777777" w:rsidR="00DB7EF8" w:rsidRPr="008F60DD" w:rsidRDefault="007D7CF3" w:rsidP="009E5D47">
            <w:pPr>
              <w:tabs>
                <w:tab w:val="left" w:pos="1490"/>
              </w:tabs>
              <w:rPr>
                <w:rFonts w:ascii="Century Gothic" w:hAnsi="Century Gothic" w:cs="Calibri"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ab/>
            </w:r>
          </w:p>
        </w:tc>
        <w:tc>
          <w:tcPr>
            <w:tcW w:w="4851" w:type="dxa"/>
            <w:shd w:val="clear" w:color="auto" w:fill="auto"/>
          </w:tcPr>
          <w:p w14:paraId="22B1AA14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Za prodávajícího:</w:t>
            </w:r>
          </w:p>
        </w:tc>
      </w:tr>
      <w:tr w:rsidR="008F60DD" w:rsidRPr="008F60DD" w14:paraId="14EA9296" w14:textId="77777777" w:rsidTr="00255C28">
        <w:trPr>
          <w:trHeight w:val="270"/>
        </w:trPr>
        <w:tc>
          <w:tcPr>
            <w:tcW w:w="5070" w:type="dxa"/>
            <w:shd w:val="clear" w:color="auto" w:fill="auto"/>
            <w:vAlign w:val="bottom"/>
          </w:tcPr>
          <w:p w14:paraId="036601E5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  <w:p w14:paraId="7B636F3A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doc. RNDr. Vladimír Velebný, CSc.</w:t>
            </w:r>
          </w:p>
          <w:p w14:paraId="30AEF763" w14:textId="77777777" w:rsidR="00DB7EF8" w:rsidRPr="008F60DD" w:rsidRDefault="00DB7EF8" w:rsidP="00255C28">
            <w:pPr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Contipro a.</w:t>
            </w:r>
            <w:r w:rsidR="00255C28" w:rsidRPr="008F60DD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8F60DD">
              <w:rPr>
                <w:rFonts w:ascii="Century Gothic" w:hAnsi="Century Gothic" w:cs="Calibri"/>
                <w:sz w:val="22"/>
                <w:szCs w:val="22"/>
              </w:rPr>
              <w:t>s.</w:t>
            </w:r>
          </w:p>
        </w:tc>
        <w:tc>
          <w:tcPr>
            <w:tcW w:w="4851" w:type="dxa"/>
            <w:shd w:val="clear" w:color="auto" w:fill="auto"/>
          </w:tcPr>
          <w:p w14:paraId="4355596C" w14:textId="77777777" w:rsidR="00DB7EF8" w:rsidRPr="008F60DD" w:rsidRDefault="00DB7EF8" w:rsidP="009E5D47">
            <w:pPr>
              <w:ind w:left="601" w:hanging="601"/>
              <w:jc w:val="both"/>
              <w:rPr>
                <w:rFonts w:ascii="Century Gothic" w:hAnsi="Century Gothic" w:cs="Calibri"/>
                <w:sz w:val="22"/>
                <w:szCs w:val="22"/>
                <w:highlight w:val="yellow"/>
              </w:rPr>
            </w:pPr>
          </w:p>
          <w:p w14:paraId="3C545083" w14:textId="77777777" w:rsidR="00255C28" w:rsidRPr="008F60DD" w:rsidRDefault="00255C28" w:rsidP="009E5D47">
            <w:pPr>
              <w:ind w:left="601" w:hanging="601"/>
              <w:jc w:val="both"/>
              <w:rPr>
                <w:rFonts w:ascii="Century Gothic" w:hAnsi="Century Gothic" w:cs="Calibri"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doplňte jméno a příjmení</w:t>
            </w:r>
          </w:p>
          <w:p w14:paraId="09A187FC" w14:textId="77777777" w:rsidR="00255C28" w:rsidRPr="008F60DD" w:rsidRDefault="00255C28" w:rsidP="009E5D47">
            <w:pPr>
              <w:ind w:left="601" w:hanging="601"/>
              <w:jc w:val="both"/>
              <w:rPr>
                <w:rFonts w:ascii="Century Gothic" w:hAnsi="Century Gothic" w:cs="Calibri"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doplňte obchodní firmu</w:t>
            </w:r>
          </w:p>
        </w:tc>
      </w:tr>
      <w:tr w:rsidR="00062623" w:rsidRPr="008F60DD" w14:paraId="4029B287" w14:textId="77777777" w:rsidTr="00255C28">
        <w:trPr>
          <w:trHeight w:val="282"/>
        </w:trPr>
        <w:tc>
          <w:tcPr>
            <w:tcW w:w="5070" w:type="dxa"/>
            <w:shd w:val="clear" w:color="auto" w:fill="auto"/>
          </w:tcPr>
          <w:p w14:paraId="06063546" w14:textId="77777777" w:rsidR="00DB7EF8" w:rsidRPr="008F60DD" w:rsidRDefault="00DB7EF8" w:rsidP="009E5D47">
            <w:pPr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</w:rPr>
              <w:t>předseda představenstva</w:t>
            </w:r>
          </w:p>
        </w:tc>
        <w:tc>
          <w:tcPr>
            <w:tcW w:w="4851" w:type="dxa"/>
            <w:shd w:val="clear" w:color="auto" w:fill="auto"/>
          </w:tcPr>
          <w:p w14:paraId="37367B6C" w14:textId="77777777" w:rsidR="00DB7EF8" w:rsidRPr="008F60DD" w:rsidRDefault="00255C28" w:rsidP="009E5D47">
            <w:pPr>
              <w:jc w:val="both"/>
              <w:rPr>
                <w:rFonts w:ascii="Century Gothic" w:hAnsi="Century Gothic" w:cs="Calibri"/>
                <w:sz w:val="22"/>
                <w:szCs w:val="22"/>
                <w:highlight w:val="yellow"/>
              </w:rPr>
            </w:pPr>
            <w:r w:rsidRPr="008F60DD">
              <w:rPr>
                <w:rFonts w:ascii="Century Gothic" w:hAnsi="Century Gothic" w:cs="Calibri"/>
                <w:sz w:val="22"/>
                <w:szCs w:val="22"/>
                <w:highlight w:val="yellow"/>
              </w:rPr>
              <w:t>doplňte funkci</w:t>
            </w:r>
          </w:p>
        </w:tc>
      </w:tr>
    </w:tbl>
    <w:p w14:paraId="5F2227A7" w14:textId="77777777" w:rsidR="00DB7EF8" w:rsidRPr="008F60DD" w:rsidRDefault="00DB7EF8" w:rsidP="009E5D47">
      <w:pPr>
        <w:widowControl w:val="0"/>
        <w:jc w:val="both"/>
        <w:rPr>
          <w:rFonts w:ascii="Century Gothic" w:hAnsi="Century Gothic"/>
          <w:sz w:val="22"/>
          <w:szCs w:val="22"/>
        </w:rPr>
      </w:pPr>
    </w:p>
    <w:sectPr w:rsidR="00DB7EF8" w:rsidRPr="008F60DD" w:rsidSect="00255C28">
      <w:footerReference w:type="default" r:id="rId9"/>
      <w:pgSz w:w="11906" w:h="16838"/>
      <w:pgMar w:top="1418" w:right="1418" w:bottom="22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D046" w14:textId="77777777" w:rsidR="00CA5B14" w:rsidRDefault="00CA5B14">
      <w:r>
        <w:separator/>
      </w:r>
    </w:p>
  </w:endnote>
  <w:endnote w:type="continuationSeparator" w:id="0">
    <w:p w14:paraId="7AB4AF57" w14:textId="77777777" w:rsidR="00CA5B14" w:rsidRDefault="00CA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D246" w14:textId="77777777" w:rsidR="00CA5B14" w:rsidRPr="00A41ED2" w:rsidRDefault="00CA5B14">
    <w:pPr>
      <w:pStyle w:val="Zpat"/>
      <w:spacing w:before="120"/>
      <w:jc w:val="center"/>
      <w:rPr>
        <w:rFonts w:ascii="Century Gothic" w:hAnsi="Century Gothic"/>
        <w:b/>
        <w:bCs/>
        <w:color w:val="000099"/>
        <w:spacing w:val="70"/>
        <w:sz w:val="22"/>
        <w:szCs w:val="22"/>
      </w:rPr>
    </w:pP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PAGE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997F1D">
      <w:rPr>
        <w:rStyle w:val="slostrnky"/>
        <w:rFonts w:ascii="Century Gothic" w:hAnsi="Century Gothic"/>
        <w:noProof/>
        <w:sz w:val="22"/>
        <w:szCs w:val="22"/>
      </w:rPr>
      <w:t>1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  <w:r w:rsidRPr="00A41ED2">
      <w:rPr>
        <w:rStyle w:val="slostrnky"/>
        <w:rFonts w:ascii="Century Gothic" w:hAnsi="Century Gothic" w:cs="Arial"/>
        <w:sz w:val="22"/>
        <w:szCs w:val="22"/>
      </w:rPr>
      <w:t>/</w:t>
    </w: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NUMPAGES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997F1D">
      <w:rPr>
        <w:rStyle w:val="slostrnky"/>
        <w:rFonts w:ascii="Century Gothic" w:hAnsi="Century Gothic"/>
        <w:noProof/>
        <w:sz w:val="22"/>
        <w:szCs w:val="22"/>
      </w:rPr>
      <w:t>5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</w:p>
  <w:p w14:paraId="19437105" w14:textId="77777777" w:rsidR="00CA5B14" w:rsidRDefault="00CA5B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D6B2" w14:textId="77777777" w:rsidR="00CA5B14" w:rsidRDefault="00CA5B14">
      <w:r>
        <w:separator/>
      </w:r>
    </w:p>
  </w:footnote>
  <w:footnote w:type="continuationSeparator" w:id="0">
    <w:p w14:paraId="49455E0B" w14:textId="77777777" w:rsidR="00CA5B14" w:rsidRDefault="00CA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E2102"/>
    <w:multiLevelType w:val="hybridMultilevel"/>
    <w:tmpl w:val="E230060C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CE9"/>
    <w:multiLevelType w:val="hybridMultilevel"/>
    <w:tmpl w:val="21180C7E"/>
    <w:lvl w:ilvl="0" w:tplc="BBB0D46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7222E0"/>
    <w:multiLevelType w:val="multilevel"/>
    <w:tmpl w:val="134A5D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270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3C224F7"/>
    <w:multiLevelType w:val="hybridMultilevel"/>
    <w:tmpl w:val="A9DAB68C"/>
    <w:lvl w:ilvl="0" w:tplc="5372BA10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97589"/>
    <w:multiLevelType w:val="hybridMultilevel"/>
    <w:tmpl w:val="B364A2A0"/>
    <w:lvl w:ilvl="0" w:tplc="11A2BBAE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0002CB"/>
    <w:multiLevelType w:val="hybridMultilevel"/>
    <w:tmpl w:val="83503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BD66D74">
      <w:start w:val="1"/>
      <w:numFmt w:val="decimal"/>
      <w:lvlText w:val="2.%3."/>
      <w:lvlJc w:val="left"/>
      <w:pPr>
        <w:ind w:left="2160" w:hanging="180"/>
      </w:pPr>
      <w:rPr>
        <w:rFonts w:ascii="Calibri" w:hAnsi="Calibri" w:cs="Calibri" w:hint="default"/>
      </w:rPr>
    </w:lvl>
    <w:lvl w:ilvl="3" w:tplc="6B32B7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4C3"/>
    <w:multiLevelType w:val="hybridMultilevel"/>
    <w:tmpl w:val="C360D3E0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0E36"/>
    <w:multiLevelType w:val="hybridMultilevel"/>
    <w:tmpl w:val="EC3662C0"/>
    <w:lvl w:ilvl="0" w:tplc="11A2BBAE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C71193"/>
    <w:multiLevelType w:val="hybridMultilevel"/>
    <w:tmpl w:val="C92C5A32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30D7A"/>
    <w:multiLevelType w:val="hybridMultilevel"/>
    <w:tmpl w:val="7BE22E52"/>
    <w:lvl w:ilvl="0" w:tplc="4BF099F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847C8C"/>
    <w:multiLevelType w:val="hybridMultilevel"/>
    <w:tmpl w:val="9932816C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2142"/>
    <w:multiLevelType w:val="hybridMultilevel"/>
    <w:tmpl w:val="DE6EA8C2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3DFE"/>
    <w:multiLevelType w:val="hybridMultilevel"/>
    <w:tmpl w:val="1846A5BA"/>
    <w:lvl w:ilvl="0" w:tplc="11A2BB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0665F"/>
    <w:multiLevelType w:val="hybridMultilevel"/>
    <w:tmpl w:val="43B61B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017"/>
    <w:multiLevelType w:val="hybridMultilevel"/>
    <w:tmpl w:val="88CEEC9E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12AE"/>
    <w:multiLevelType w:val="multilevel"/>
    <w:tmpl w:val="6D8C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C47C7E"/>
    <w:multiLevelType w:val="hybridMultilevel"/>
    <w:tmpl w:val="A28A2C6A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281"/>
    <w:multiLevelType w:val="hybridMultilevel"/>
    <w:tmpl w:val="E34C67DE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A5241"/>
    <w:multiLevelType w:val="hybridMultilevel"/>
    <w:tmpl w:val="D9647E80"/>
    <w:lvl w:ilvl="0" w:tplc="5372BA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72AA7"/>
    <w:multiLevelType w:val="hybridMultilevel"/>
    <w:tmpl w:val="2A8E0F84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A210F"/>
    <w:multiLevelType w:val="hybridMultilevel"/>
    <w:tmpl w:val="D9F8A5F6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5A6F"/>
    <w:multiLevelType w:val="hybridMultilevel"/>
    <w:tmpl w:val="4DA421AC"/>
    <w:lvl w:ilvl="0" w:tplc="4BF099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739D0"/>
    <w:multiLevelType w:val="multilevel"/>
    <w:tmpl w:val="F594D780"/>
    <w:name w:val="WW8Num6222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286957"/>
    <w:multiLevelType w:val="hybridMultilevel"/>
    <w:tmpl w:val="F4F2765C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2A27"/>
    <w:multiLevelType w:val="hybridMultilevel"/>
    <w:tmpl w:val="C7D23C52"/>
    <w:lvl w:ilvl="0" w:tplc="3D6CC96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7063EA"/>
    <w:multiLevelType w:val="hybridMultilevel"/>
    <w:tmpl w:val="A454A7BC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82A3B"/>
    <w:multiLevelType w:val="hybridMultilevel"/>
    <w:tmpl w:val="C32E71F4"/>
    <w:lvl w:ilvl="0" w:tplc="3D6CC966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>
    <w:nsid w:val="640275A3"/>
    <w:multiLevelType w:val="hybridMultilevel"/>
    <w:tmpl w:val="710E8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C6B3C"/>
    <w:multiLevelType w:val="hybridMultilevel"/>
    <w:tmpl w:val="75F6DAAA"/>
    <w:lvl w:ilvl="0" w:tplc="11A2BBA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6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77247F45"/>
    <w:multiLevelType w:val="hybridMultilevel"/>
    <w:tmpl w:val="AC2A6AE8"/>
    <w:lvl w:ilvl="0" w:tplc="BBB0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415AF"/>
    <w:multiLevelType w:val="hybridMultilevel"/>
    <w:tmpl w:val="377E3362"/>
    <w:lvl w:ilvl="0" w:tplc="11A2B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66E35"/>
    <w:multiLevelType w:val="hybridMultilevel"/>
    <w:tmpl w:val="7688E444"/>
    <w:lvl w:ilvl="0" w:tplc="3D6CC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F05D5"/>
    <w:multiLevelType w:val="multilevel"/>
    <w:tmpl w:val="B68812F4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002" w:hanging="576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35"/>
  </w:num>
  <w:num w:numId="4">
    <w:abstractNumId w:val="0"/>
  </w:num>
  <w:num w:numId="5">
    <w:abstractNumId w:val="31"/>
  </w:num>
  <w:num w:numId="6">
    <w:abstractNumId w:val="19"/>
  </w:num>
  <w:num w:numId="7">
    <w:abstractNumId w:val="7"/>
  </w:num>
  <w:num w:numId="8">
    <w:abstractNumId w:val="6"/>
  </w:num>
  <w:num w:numId="9">
    <w:abstractNumId w:val="9"/>
  </w:num>
  <w:num w:numId="10">
    <w:abstractNumId w:val="24"/>
  </w:num>
  <w:num w:numId="11">
    <w:abstractNumId w:val="20"/>
  </w:num>
  <w:num w:numId="12">
    <w:abstractNumId w:val="12"/>
  </w:num>
  <w:num w:numId="13">
    <w:abstractNumId w:val="11"/>
  </w:num>
  <w:num w:numId="14">
    <w:abstractNumId w:val="25"/>
  </w:num>
  <w:num w:numId="15">
    <w:abstractNumId w:val="5"/>
  </w:num>
  <w:num w:numId="16">
    <w:abstractNumId w:val="32"/>
  </w:num>
  <w:num w:numId="17">
    <w:abstractNumId w:val="26"/>
  </w:num>
  <w:num w:numId="18">
    <w:abstractNumId w:val="17"/>
  </w:num>
  <w:num w:numId="19">
    <w:abstractNumId w:val="22"/>
  </w:num>
  <w:num w:numId="20">
    <w:abstractNumId w:val="8"/>
  </w:num>
  <w:num w:numId="21">
    <w:abstractNumId w:val="16"/>
  </w:num>
  <w:num w:numId="22">
    <w:abstractNumId w:val="36"/>
  </w:num>
  <w:num w:numId="23">
    <w:abstractNumId w:val="1"/>
  </w:num>
  <w:num w:numId="24">
    <w:abstractNumId w:val="14"/>
  </w:num>
  <w:num w:numId="25">
    <w:abstractNumId w:val="15"/>
  </w:num>
  <w:num w:numId="26">
    <w:abstractNumId w:val="37"/>
  </w:num>
  <w:num w:numId="27">
    <w:abstractNumId w:val="30"/>
  </w:num>
  <w:num w:numId="28">
    <w:abstractNumId w:val="10"/>
  </w:num>
  <w:num w:numId="29">
    <w:abstractNumId w:val="28"/>
  </w:num>
  <w:num w:numId="30">
    <w:abstractNumId w:val="2"/>
  </w:num>
  <w:num w:numId="31">
    <w:abstractNumId w:val="13"/>
  </w:num>
  <w:num w:numId="32">
    <w:abstractNumId w:val="18"/>
  </w:num>
  <w:num w:numId="33">
    <w:abstractNumId w:val="27"/>
  </w:num>
  <w:num w:numId="34">
    <w:abstractNumId w:val="34"/>
  </w:num>
  <w:num w:numId="35">
    <w:abstractNumId w:val="23"/>
  </w:num>
  <w:num w:numId="36">
    <w:abstractNumId w:val="29"/>
  </w:num>
  <w:num w:numId="37">
    <w:abstractNumId w:val="4"/>
  </w:num>
  <w:num w:numId="38">
    <w:abstractNumId w:val="4"/>
  </w:num>
  <w:num w:numId="39">
    <w:abstractNumId w:val="21"/>
  </w:num>
  <w:num w:numId="40">
    <w:abstractNumId w:val="38"/>
  </w:num>
  <w:num w:numId="41">
    <w:abstractNumId w:val="4"/>
  </w:num>
  <w:num w:numId="42">
    <w:abstractNumId w:val="4"/>
  </w:num>
  <w:num w:numId="43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03F1E"/>
    <w:rsid w:val="00020F4B"/>
    <w:rsid w:val="00026274"/>
    <w:rsid w:val="000316DD"/>
    <w:rsid w:val="00034358"/>
    <w:rsid w:val="000418BF"/>
    <w:rsid w:val="000447AF"/>
    <w:rsid w:val="00055AAE"/>
    <w:rsid w:val="00062086"/>
    <w:rsid w:val="00062623"/>
    <w:rsid w:val="00067E6E"/>
    <w:rsid w:val="00075BA7"/>
    <w:rsid w:val="00076504"/>
    <w:rsid w:val="00086277"/>
    <w:rsid w:val="000A4F35"/>
    <w:rsid w:val="000A6159"/>
    <w:rsid w:val="000A644D"/>
    <w:rsid w:val="000B597E"/>
    <w:rsid w:val="000C0E04"/>
    <w:rsid w:val="000C4281"/>
    <w:rsid w:val="000D4CE8"/>
    <w:rsid w:val="000E0CE7"/>
    <w:rsid w:val="000E3A2B"/>
    <w:rsid w:val="000E595B"/>
    <w:rsid w:val="000F1FE4"/>
    <w:rsid w:val="001105BB"/>
    <w:rsid w:val="00114291"/>
    <w:rsid w:val="001263C5"/>
    <w:rsid w:val="001265AF"/>
    <w:rsid w:val="00127A78"/>
    <w:rsid w:val="0013541F"/>
    <w:rsid w:val="001466BF"/>
    <w:rsid w:val="001530EE"/>
    <w:rsid w:val="00164F85"/>
    <w:rsid w:val="0017149B"/>
    <w:rsid w:val="00171FC0"/>
    <w:rsid w:val="001824A9"/>
    <w:rsid w:val="00190618"/>
    <w:rsid w:val="001A613A"/>
    <w:rsid w:val="001A6A89"/>
    <w:rsid w:val="001C1942"/>
    <w:rsid w:val="001D3CF9"/>
    <w:rsid w:val="001D7342"/>
    <w:rsid w:val="001E2261"/>
    <w:rsid w:val="001E4DCE"/>
    <w:rsid w:val="001F089B"/>
    <w:rsid w:val="001F4286"/>
    <w:rsid w:val="001F626C"/>
    <w:rsid w:val="00210762"/>
    <w:rsid w:val="00216FC2"/>
    <w:rsid w:val="00217EAB"/>
    <w:rsid w:val="002218C3"/>
    <w:rsid w:val="0022633B"/>
    <w:rsid w:val="00233017"/>
    <w:rsid w:val="00233CC5"/>
    <w:rsid w:val="002540AD"/>
    <w:rsid w:val="00255C28"/>
    <w:rsid w:val="00276730"/>
    <w:rsid w:val="00297F18"/>
    <w:rsid w:val="00297FBC"/>
    <w:rsid w:val="002C25AC"/>
    <w:rsid w:val="002D216D"/>
    <w:rsid w:val="002E2FF8"/>
    <w:rsid w:val="002F2734"/>
    <w:rsid w:val="00303416"/>
    <w:rsid w:val="00303BE0"/>
    <w:rsid w:val="00306FD2"/>
    <w:rsid w:val="003115D9"/>
    <w:rsid w:val="00323744"/>
    <w:rsid w:val="003312D3"/>
    <w:rsid w:val="003611C1"/>
    <w:rsid w:val="003628B0"/>
    <w:rsid w:val="00375DC7"/>
    <w:rsid w:val="00381FB7"/>
    <w:rsid w:val="00395CE1"/>
    <w:rsid w:val="003A4A36"/>
    <w:rsid w:val="003C20A4"/>
    <w:rsid w:val="003F3238"/>
    <w:rsid w:val="003F58E1"/>
    <w:rsid w:val="00413BFE"/>
    <w:rsid w:val="00417E1C"/>
    <w:rsid w:val="004242C2"/>
    <w:rsid w:val="00425717"/>
    <w:rsid w:val="00430F38"/>
    <w:rsid w:val="004423C2"/>
    <w:rsid w:val="00444D0B"/>
    <w:rsid w:val="0045541D"/>
    <w:rsid w:val="00464719"/>
    <w:rsid w:val="0047242D"/>
    <w:rsid w:val="0049479F"/>
    <w:rsid w:val="00494B94"/>
    <w:rsid w:val="0049662D"/>
    <w:rsid w:val="004A5683"/>
    <w:rsid w:val="004B57E8"/>
    <w:rsid w:val="004D4B9D"/>
    <w:rsid w:val="004E20C3"/>
    <w:rsid w:val="004F1BDB"/>
    <w:rsid w:val="004F46DB"/>
    <w:rsid w:val="00503A4A"/>
    <w:rsid w:val="00510C19"/>
    <w:rsid w:val="00511C7A"/>
    <w:rsid w:val="005158DE"/>
    <w:rsid w:val="00530D66"/>
    <w:rsid w:val="00541547"/>
    <w:rsid w:val="00562217"/>
    <w:rsid w:val="00564756"/>
    <w:rsid w:val="0057222C"/>
    <w:rsid w:val="00582966"/>
    <w:rsid w:val="005A0A8F"/>
    <w:rsid w:val="005A0DD0"/>
    <w:rsid w:val="005A6E55"/>
    <w:rsid w:val="005D2CBA"/>
    <w:rsid w:val="005D70F6"/>
    <w:rsid w:val="005E41E2"/>
    <w:rsid w:val="005F6778"/>
    <w:rsid w:val="00610FAC"/>
    <w:rsid w:val="006150B1"/>
    <w:rsid w:val="00625B48"/>
    <w:rsid w:val="006373A8"/>
    <w:rsid w:val="0064512F"/>
    <w:rsid w:val="006617AC"/>
    <w:rsid w:val="00674D42"/>
    <w:rsid w:val="00677702"/>
    <w:rsid w:val="006802F1"/>
    <w:rsid w:val="00692642"/>
    <w:rsid w:val="006A098A"/>
    <w:rsid w:val="006B01B3"/>
    <w:rsid w:val="006C4F5B"/>
    <w:rsid w:val="006C586A"/>
    <w:rsid w:val="006E2C46"/>
    <w:rsid w:val="006E3EE5"/>
    <w:rsid w:val="006E54D3"/>
    <w:rsid w:val="006F2DE3"/>
    <w:rsid w:val="0074534E"/>
    <w:rsid w:val="00745809"/>
    <w:rsid w:val="0075712B"/>
    <w:rsid w:val="00760444"/>
    <w:rsid w:val="00760D2B"/>
    <w:rsid w:val="0077280A"/>
    <w:rsid w:val="007763B1"/>
    <w:rsid w:val="00777D69"/>
    <w:rsid w:val="00785A8B"/>
    <w:rsid w:val="007A082B"/>
    <w:rsid w:val="007C003F"/>
    <w:rsid w:val="007C112E"/>
    <w:rsid w:val="007D005E"/>
    <w:rsid w:val="007D0BD9"/>
    <w:rsid w:val="007D7972"/>
    <w:rsid w:val="007D7CF3"/>
    <w:rsid w:val="007E0BF3"/>
    <w:rsid w:val="007E13CB"/>
    <w:rsid w:val="007E32E2"/>
    <w:rsid w:val="007E41FB"/>
    <w:rsid w:val="0080450A"/>
    <w:rsid w:val="00807215"/>
    <w:rsid w:val="00810AD5"/>
    <w:rsid w:val="00816D27"/>
    <w:rsid w:val="008250A6"/>
    <w:rsid w:val="00842C32"/>
    <w:rsid w:val="00845781"/>
    <w:rsid w:val="00861B45"/>
    <w:rsid w:val="008650DA"/>
    <w:rsid w:val="00865B9F"/>
    <w:rsid w:val="0087083B"/>
    <w:rsid w:val="008822B6"/>
    <w:rsid w:val="00885DE4"/>
    <w:rsid w:val="00892CE4"/>
    <w:rsid w:val="008958E7"/>
    <w:rsid w:val="008B1DF2"/>
    <w:rsid w:val="008B4803"/>
    <w:rsid w:val="008E2188"/>
    <w:rsid w:val="008E369F"/>
    <w:rsid w:val="008E4A2E"/>
    <w:rsid w:val="008E65BF"/>
    <w:rsid w:val="008F32E5"/>
    <w:rsid w:val="008F60DD"/>
    <w:rsid w:val="00924475"/>
    <w:rsid w:val="0093336E"/>
    <w:rsid w:val="00941E0F"/>
    <w:rsid w:val="009449C0"/>
    <w:rsid w:val="0094643F"/>
    <w:rsid w:val="009473B2"/>
    <w:rsid w:val="00965E20"/>
    <w:rsid w:val="0097120E"/>
    <w:rsid w:val="009810C8"/>
    <w:rsid w:val="0098432B"/>
    <w:rsid w:val="009852A7"/>
    <w:rsid w:val="00986EF1"/>
    <w:rsid w:val="00991DDF"/>
    <w:rsid w:val="009952D3"/>
    <w:rsid w:val="00997F1D"/>
    <w:rsid w:val="009B23E5"/>
    <w:rsid w:val="009B45C9"/>
    <w:rsid w:val="009C6E0B"/>
    <w:rsid w:val="009E4C49"/>
    <w:rsid w:val="009E5D47"/>
    <w:rsid w:val="009F4D5A"/>
    <w:rsid w:val="00A0283F"/>
    <w:rsid w:val="00A063CD"/>
    <w:rsid w:val="00A158F2"/>
    <w:rsid w:val="00A2543A"/>
    <w:rsid w:val="00A41ED2"/>
    <w:rsid w:val="00A444AD"/>
    <w:rsid w:val="00A4467A"/>
    <w:rsid w:val="00A53078"/>
    <w:rsid w:val="00A53C47"/>
    <w:rsid w:val="00A54558"/>
    <w:rsid w:val="00A570D5"/>
    <w:rsid w:val="00A94039"/>
    <w:rsid w:val="00AB31F6"/>
    <w:rsid w:val="00AC5BF8"/>
    <w:rsid w:val="00AD1F95"/>
    <w:rsid w:val="00AD32BE"/>
    <w:rsid w:val="00AD33EB"/>
    <w:rsid w:val="00AE2979"/>
    <w:rsid w:val="00B03B4C"/>
    <w:rsid w:val="00B24BAB"/>
    <w:rsid w:val="00B543CF"/>
    <w:rsid w:val="00B67747"/>
    <w:rsid w:val="00B705DF"/>
    <w:rsid w:val="00B77B59"/>
    <w:rsid w:val="00B8121E"/>
    <w:rsid w:val="00B81BF4"/>
    <w:rsid w:val="00B84083"/>
    <w:rsid w:val="00B96F28"/>
    <w:rsid w:val="00BA1FA2"/>
    <w:rsid w:val="00BA30FA"/>
    <w:rsid w:val="00BA36D8"/>
    <w:rsid w:val="00BC5C8F"/>
    <w:rsid w:val="00BF0E3B"/>
    <w:rsid w:val="00C40234"/>
    <w:rsid w:val="00C51730"/>
    <w:rsid w:val="00C52980"/>
    <w:rsid w:val="00C5298C"/>
    <w:rsid w:val="00C53BC2"/>
    <w:rsid w:val="00C5417E"/>
    <w:rsid w:val="00C63F24"/>
    <w:rsid w:val="00C64B1F"/>
    <w:rsid w:val="00C70D6C"/>
    <w:rsid w:val="00C73338"/>
    <w:rsid w:val="00C814BB"/>
    <w:rsid w:val="00C83FA0"/>
    <w:rsid w:val="00C94013"/>
    <w:rsid w:val="00C96278"/>
    <w:rsid w:val="00C96D93"/>
    <w:rsid w:val="00C97890"/>
    <w:rsid w:val="00CA5B14"/>
    <w:rsid w:val="00CA727B"/>
    <w:rsid w:val="00CB7A55"/>
    <w:rsid w:val="00CC027C"/>
    <w:rsid w:val="00CE2C87"/>
    <w:rsid w:val="00CE7C44"/>
    <w:rsid w:val="00D02A67"/>
    <w:rsid w:val="00D0332D"/>
    <w:rsid w:val="00D04861"/>
    <w:rsid w:val="00D12F44"/>
    <w:rsid w:val="00D14EA5"/>
    <w:rsid w:val="00D225B1"/>
    <w:rsid w:val="00D40EC8"/>
    <w:rsid w:val="00D4316F"/>
    <w:rsid w:val="00D50FCC"/>
    <w:rsid w:val="00D55F57"/>
    <w:rsid w:val="00D562B0"/>
    <w:rsid w:val="00D70533"/>
    <w:rsid w:val="00D82D5F"/>
    <w:rsid w:val="00D96B2C"/>
    <w:rsid w:val="00DB0FD7"/>
    <w:rsid w:val="00DB7666"/>
    <w:rsid w:val="00DB7EF8"/>
    <w:rsid w:val="00DC6969"/>
    <w:rsid w:val="00DD0EC1"/>
    <w:rsid w:val="00DD456E"/>
    <w:rsid w:val="00DD5581"/>
    <w:rsid w:val="00DE00F9"/>
    <w:rsid w:val="00DE30C9"/>
    <w:rsid w:val="00DF3D11"/>
    <w:rsid w:val="00DF4303"/>
    <w:rsid w:val="00E0262F"/>
    <w:rsid w:val="00E126F2"/>
    <w:rsid w:val="00E15D42"/>
    <w:rsid w:val="00E24186"/>
    <w:rsid w:val="00E27F22"/>
    <w:rsid w:val="00E379EB"/>
    <w:rsid w:val="00E648F0"/>
    <w:rsid w:val="00E74127"/>
    <w:rsid w:val="00E80656"/>
    <w:rsid w:val="00E80C0B"/>
    <w:rsid w:val="00E826DD"/>
    <w:rsid w:val="00E931EA"/>
    <w:rsid w:val="00E93B8C"/>
    <w:rsid w:val="00EA361E"/>
    <w:rsid w:val="00EA3CDE"/>
    <w:rsid w:val="00EB6DAE"/>
    <w:rsid w:val="00EB7A8B"/>
    <w:rsid w:val="00EC7006"/>
    <w:rsid w:val="00ED78CC"/>
    <w:rsid w:val="00EF60B8"/>
    <w:rsid w:val="00EF6856"/>
    <w:rsid w:val="00F07820"/>
    <w:rsid w:val="00F15E22"/>
    <w:rsid w:val="00F329D1"/>
    <w:rsid w:val="00F3303C"/>
    <w:rsid w:val="00F43806"/>
    <w:rsid w:val="00F4784F"/>
    <w:rsid w:val="00F506FA"/>
    <w:rsid w:val="00F5230B"/>
    <w:rsid w:val="00F63A8D"/>
    <w:rsid w:val="00F72E07"/>
    <w:rsid w:val="00F74491"/>
    <w:rsid w:val="00F767AD"/>
    <w:rsid w:val="00FC5941"/>
    <w:rsid w:val="00FF4FF0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1BEB06"/>
  <w15:docId w15:val="{EB7EA38E-A3DD-4B05-8F5E-9EBF892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E5D47"/>
    <w:pPr>
      <w:keepNext/>
      <w:numPr>
        <w:numId w:val="1"/>
      </w:numPr>
      <w:spacing w:before="360" w:after="24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9E5D47"/>
    <w:rPr>
      <w:rFonts w:ascii="Century Gothic" w:hAnsi="Century Gothic" w:cs="Century Gothic"/>
      <w:b/>
      <w:bCs/>
      <w:kern w:val="32"/>
      <w:lang w:val="cs-CZ" w:eastAsia="cs-CZ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075BA7"/>
    <w:pPr>
      <w:tabs>
        <w:tab w:val="left" w:pos="1134"/>
        <w:tab w:val="right" w:leader="dot" w:pos="9062"/>
      </w:tabs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233017"/>
    <w:rPr>
      <w:rFonts w:ascii="Century Gothic" w:hAnsi="Century Gothic" w:cs="Century Gothic"/>
    </w:rPr>
  </w:style>
  <w:style w:type="paragraph" w:customStyle="1" w:styleId="Styl1">
    <w:name w:val="Styl1"/>
    <w:basedOn w:val="Nadpis1"/>
    <w:link w:val="Styl1Char"/>
    <w:qFormat/>
    <w:rsid w:val="00785A8B"/>
    <w:pPr>
      <w:numPr>
        <w:numId w:val="0"/>
      </w:numPr>
      <w:ind w:left="1143" w:hanging="576"/>
    </w:pPr>
  </w:style>
  <w:style w:type="paragraph" w:customStyle="1" w:styleId="Default">
    <w:name w:val="Default"/>
    <w:uiPriority w:val="99"/>
    <w:rsid w:val="0075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customStyle="1" w:styleId="Styl1Char">
    <w:name w:val="Styl1 Char"/>
    <w:link w:val="Styl1"/>
    <w:rsid w:val="00A063CD"/>
    <w:rPr>
      <w:rFonts w:ascii="Century Gothic" w:hAnsi="Century Gothic" w:cs="Century Gothic"/>
      <w:b/>
      <w:bCs/>
      <w:kern w:val="32"/>
    </w:rPr>
  </w:style>
  <w:style w:type="table" w:customStyle="1" w:styleId="Mkatabulky1">
    <w:name w:val="Mřížka tabulky1"/>
    <w:basedOn w:val="Normlntabulka"/>
    <w:next w:val="Mkatabulky"/>
    <w:uiPriority w:val="59"/>
    <w:rsid w:val="00F506FA"/>
    <w:rPr>
      <w:rFonts w:ascii="Calibri" w:eastAsia="Calibri" w:hAnsi="Calibr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F5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%20Pavlik@contip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8F17-5269-4A36-AB01-CB05D087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1213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8356</CharactersWithSpaces>
  <SharedDoc>false</SharedDoc>
  <HLinks>
    <vt:vector size="102" baseType="variant">
      <vt:variant>
        <vt:i4>7929979</vt:i4>
      </vt:variant>
      <vt:variant>
        <vt:i4>99</vt:i4>
      </vt:variant>
      <vt:variant>
        <vt:i4>0</vt:i4>
      </vt:variant>
      <vt:variant>
        <vt:i4>5</vt:i4>
      </vt:variant>
      <vt:variant>
        <vt:lpwstr>mailto:Jaroslav Pavlik@contipro.com</vt:lpwstr>
      </vt:variant>
      <vt:variant>
        <vt:lpwstr/>
      </vt:variant>
      <vt:variant>
        <vt:i4>1441803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1048584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1048585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1048582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1048583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1048580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1048581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1048578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1048579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1048576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12</cp:revision>
  <cp:lastPrinted>2016-09-23T11:22:00Z</cp:lastPrinted>
  <dcterms:created xsi:type="dcterms:W3CDTF">2016-09-22T04:11:00Z</dcterms:created>
  <dcterms:modified xsi:type="dcterms:W3CDTF">2016-09-23T11:37:00Z</dcterms:modified>
</cp:coreProperties>
</file>