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504D7" w14:textId="77777777" w:rsidR="002914F1" w:rsidRPr="00F343B7" w:rsidRDefault="002914F1" w:rsidP="002914F1">
      <w:pPr>
        <w:rPr>
          <w:rStyle w:val="Siln"/>
          <w:rFonts w:ascii="Century Gothic" w:hAnsi="Century Gothic"/>
          <w:color w:val="000000" w:themeColor="text1"/>
          <w:sz w:val="22"/>
          <w:szCs w:val="22"/>
        </w:rPr>
      </w:pPr>
      <w:bookmarkStart w:id="0" w:name="_GoBack"/>
      <w:bookmarkEnd w:id="0"/>
      <w:r w:rsidRPr="00F343B7">
        <w:rPr>
          <w:rStyle w:val="Siln"/>
          <w:rFonts w:ascii="Century Gothic" w:hAnsi="Century Gothic"/>
          <w:color w:val="000000" w:themeColor="text1"/>
          <w:sz w:val="22"/>
          <w:szCs w:val="22"/>
        </w:rPr>
        <w:t>Příloha č. 3</w:t>
      </w:r>
    </w:p>
    <w:p w14:paraId="55B76EB7" w14:textId="77777777" w:rsidR="002914F1" w:rsidRPr="00F343B7" w:rsidRDefault="002914F1" w:rsidP="002914F1">
      <w:pPr>
        <w:ind w:left="68"/>
        <w:jc w:val="center"/>
        <w:outlineLvl w:val="0"/>
        <w:rPr>
          <w:rFonts w:cs="Calibri"/>
          <w:b/>
          <w:color w:val="000000" w:themeColor="text1"/>
        </w:rPr>
      </w:pPr>
    </w:p>
    <w:p w14:paraId="791F4EAD" w14:textId="77777777" w:rsidR="002914F1" w:rsidRPr="00F343B7" w:rsidRDefault="002914F1" w:rsidP="002914F1">
      <w:pPr>
        <w:ind w:left="68"/>
        <w:jc w:val="center"/>
        <w:outlineLvl w:val="0"/>
        <w:rPr>
          <w:rFonts w:ascii="Century Gothic" w:hAnsi="Century Gothic" w:cs="Calibri"/>
          <w:b/>
          <w:color w:val="000000" w:themeColor="text1"/>
          <w:sz w:val="28"/>
          <w:szCs w:val="28"/>
        </w:rPr>
      </w:pPr>
      <w:bookmarkStart w:id="1" w:name="_Toc462317422"/>
      <w:r w:rsidRPr="00F343B7">
        <w:rPr>
          <w:rFonts w:ascii="Century Gothic" w:hAnsi="Century Gothic" w:cs="Calibri"/>
          <w:b/>
          <w:color w:val="000000" w:themeColor="text1"/>
          <w:sz w:val="28"/>
          <w:szCs w:val="28"/>
        </w:rPr>
        <w:t>TECHNICKÁ SPECIFIKACE ZAKÁZKY</w:t>
      </w:r>
      <w:bookmarkEnd w:id="1"/>
    </w:p>
    <w:p w14:paraId="411A333E" w14:textId="77777777" w:rsidR="002914F1" w:rsidRPr="00F343B7" w:rsidRDefault="002914F1" w:rsidP="002914F1">
      <w:pPr>
        <w:widowControl w:val="0"/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26B95477" w14:textId="22BC9942" w:rsidR="00194274" w:rsidRPr="00F343B7" w:rsidRDefault="00194274" w:rsidP="00194274">
      <w:pPr>
        <w:widowControl w:val="0"/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F343B7">
        <w:rPr>
          <w:rFonts w:ascii="Century Gothic" w:hAnsi="Century Gothic"/>
          <w:color w:val="000000" w:themeColor="text1"/>
          <w:sz w:val="22"/>
          <w:szCs w:val="22"/>
        </w:rPr>
        <w:t>Možnost volby (chtít po uchazeči vypsat parametr nebo uvést splněno/nesplněno, případně použít kombinaci obou tabulek) – níže uvádím vzor, jak to může vypadat:</w:t>
      </w:r>
    </w:p>
    <w:tbl>
      <w:tblPr>
        <w:tblpPr w:leftFromText="141" w:rightFromText="141" w:vertAnchor="text" w:horzAnchor="margin" w:tblpXSpec="center" w:tblpY="68"/>
        <w:tblW w:w="103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5"/>
        <w:gridCol w:w="2079"/>
        <w:gridCol w:w="2079"/>
      </w:tblGrid>
      <w:tr w:rsidR="00F343B7" w:rsidRPr="00F343B7" w14:paraId="72A2108D" w14:textId="77777777" w:rsidTr="00506AC5">
        <w:trPr>
          <w:trHeight w:val="895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A1D7E" w14:textId="77777777" w:rsidR="00194274" w:rsidRPr="00F343B7" w:rsidRDefault="00194274" w:rsidP="00506AC5">
            <w:pPr>
              <w:spacing w:after="160" w:line="256" w:lineRule="auto"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Součást zařízení/parametr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A3074" w14:textId="77777777" w:rsidR="00194274" w:rsidRPr="00F343B7" w:rsidRDefault="00194274" w:rsidP="00506AC5">
            <w:pPr>
              <w:spacing w:after="160" w:line="256" w:lineRule="auto"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Požadovaná hodnota (Povinné parametry)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CF7E" w14:textId="77777777" w:rsidR="00194274" w:rsidRPr="00F343B7" w:rsidRDefault="00194274" w:rsidP="00506AC5">
            <w:pPr>
              <w:spacing w:after="160" w:line="256" w:lineRule="auto"/>
              <w:jc w:val="center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Skutečný parametr nabízeného zařízení nebo služby</w:t>
            </w:r>
          </w:p>
        </w:tc>
      </w:tr>
      <w:tr w:rsidR="00F343B7" w:rsidRPr="00F343B7" w14:paraId="608CCBEB" w14:textId="77777777" w:rsidTr="000F250B">
        <w:trPr>
          <w:trHeight w:val="284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55863" w14:textId="5A41B5BA" w:rsidR="001E5848" w:rsidRPr="00F343B7" w:rsidRDefault="000F250B" w:rsidP="000F250B">
            <w:pPr>
              <w:spacing w:after="160" w:line="256" w:lineRule="auto"/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MS část</w:t>
            </w:r>
          </w:p>
        </w:tc>
      </w:tr>
      <w:tr w:rsidR="00F343B7" w:rsidRPr="00F343B7" w14:paraId="398EFFF0" w14:textId="77777777" w:rsidTr="00506AC5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7DD40" w14:textId="0C4AAFC5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Tandemový hmotnostní spektrometr na principu trojitého kvadrupólu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A2C9" w14:textId="18781642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DE40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46AC7475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66FD" w14:textId="160D8BC3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Plnohodnotné čištění iontového vstupu bez zrušení vakua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D8B8" w14:textId="3A4EB50F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D865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645A95B8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D8360" w14:textId="1CE7CCD9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Vhodný pro použití méně těkavých a netěkavých pufrů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DF41" w14:textId="3BE6848A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913C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3A5A4CA6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641D" w14:textId="234C1799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Kalibrace i ladění je prováděno automaticky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15A3E" w14:textId="4FB08553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CEB7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5B907D88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0CA6" w14:textId="54498534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Dostupné režimy: sken produktů, sken prekurzorů, neutrální ztráta, MRM režim, MRM kombinovaný se skenem pozadí matrice, SIR (SIM) režim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6F794" w14:textId="306F69AD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8FE1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63F33AC6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02D7" w14:textId="5996C57C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Přepínání polarit (pozitivní vs. negativní mód)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ED0D0" w14:textId="460F477A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≤ </w:t>
            </w:r>
            <w:r w:rsidRPr="00F343B7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30 ms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AC2E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58A764B0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85CEA" w14:textId="5556E0E5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Citlivost v ESI+ MRM módu (měřeno pro nástřik 1 pg reserpinu) minimálně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17E42" w14:textId="425BEA3B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450 000:1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908E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1EC4496C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BBEF6" w14:textId="35C9A5F7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Citlivost v ESI- MRM módu (měřeno pro nástřik 1 pg chloramfenicolu) minimálně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994D3" w14:textId="14ED0E59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450 000:1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11A1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6F06AB4E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9FF2B" w14:textId="35DA2973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Rozsah hmot minimálně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EF834" w14:textId="57FC5C65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5 až 1980 amu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A5BA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14EF8178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A5B9" w14:textId="249E9CC3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Minimální pozorovací čas („dwell time“)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C60FA" w14:textId="7246739E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≤ 1 ms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4E8E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6D24200A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6521" w14:textId="715F1512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Lineární dynamický rozsah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E9660" w14:textId="2346AACF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alespoň 6 řádů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D697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27A8C937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7D782" w14:textId="2BD1AAF6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Rychlost skenování kvadrupólů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7DC7" w14:textId="61CE41B2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≥ 15 000 amu/s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162E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0E8C4DBF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58938" w14:textId="6A3ED024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Součástí nabídky je kombinovaný ESI/APCI iontový zdroj pracující jako přepínatelný elektrosprej a také chemická ionizace za atmosférického tlaku s použitím jedné sondy umožňující práci v oddělených režimech ESI a APCI. Kombinovaný ESI/APCI iontový zdroj je možné nahradit dvěma zdroji, přičemž jeden pracuje v režimu ESI a druhý v režimu APCI.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01D6" w14:textId="2286AC4B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3612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65FF2A38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5542" w14:textId="5F924B97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Součástí nabídky je kombinovaný ESI/APCI iontový zdroj pracující ve společném smíšeném režimu ESI + APCI s použitím jedné sondy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A004" w14:textId="3D3CFDFF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8788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54920D38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A67A" w14:textId="713B9D88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Součástí nabídky je iontový zdroj na bázi desorpčního nanoelektrospreje vhodného pro multimodální molekulární zobrazování v pozitivním i negativním </w:t>
            </w: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režimu. Iontový zdroj je plně hardwarově i softwarově kompatibilní se Synapt G2-Si, který zadavatel vlastní.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15137" w14:textId="756DB65A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7BFA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6FDCC56B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F7CF3" w14:textId="6019CB78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Hmotnostní spektrometr musí být plně hardwarově i softwarově kompatibilní s ultra-účinným superkritickým fluidním chromatografem, který zadavatel vlastní.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62A1" w14:textId="7DDA4ECF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60A1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737F908E" w14:textId="77777777" w:rsidTr="000F250B">
        <w:trPr>
          <w:trHeight w:val="284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F5AEA" w14:textId="32E9182A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LC část - čerpadlo</w:t>
            </w:r>
          </w:p>
        </w:tc>
      </w:tr>
      <w:tr w:rsidR="00F343B7" w:rsidRPr="00F343B7" w14:paraId="52E51230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79236" w14:textId="40E87220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Binární vysokotlaký gradient s přepínáním minimálně dvou mobilních fází pro každou cestu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11322" w14:textId="2DAE910E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04F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292DFB09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0D77B" w14:textId="11266CA2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Opatřeno vakuovým odplyňovačem mobilních fází pro všechny cesty mobilní fáze i oplachové kapaliny automatického dávkovače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5CB4" w14:textId="5DE9E1EB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4920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2A91CDD8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5247" w14:textId="675C41EE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Opatřeno senzory úniku kapaliny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F3965" w14:textId="7537708D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BC18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3EF72657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809B8" w14:textId="0BD4290A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Možnost použití v rozsahu pH minimálně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B461" w14:textId="0FB5A40D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2-12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D397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5067C03D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997E5" w14:textId="69043974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Rozsah průtoků minimálně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512FE" w14:textId="0F99EDB7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0,05 až 2 ml/min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7C34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779AAD1F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4F9BF" w14:textId="252A158E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Maximální pracovní tlak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DFFC4" w14:textId="7084B1D2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≥ 1200 bar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B17C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3B72D515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0B639" w14:textId="707215D9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Mrtvý objem (od směšovacího ventilu až po ústí kapiláry, která se připojuje k chromatografické koloně)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6DCA" w14:textId="67E7F5C7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max. 110 uL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CA5A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0D1FF35A" w14:textId="77777777" w:rsidTr="000F250B">
        <w:trPr>
          <w:trHeight w:val="284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55878" w14:textId="7487248E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LC část - automatický dávkovač</w:t>
            </w:r>
          </w:p>
        </w:tc>
      </w:tr>
      <w:tr w:rsidR="00F343B7" w:rsidRPr="00F343B7" w14:paraId="07B37D7F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C6009" w14:textId="2D707F34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Opatřen chlazením a nastavitelnou kontrolou teploty vzorků v rozsahu minimálně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CE780" w14:textId="7A0C5129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+5 až +37°C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F61D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11CA6CA9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FCC16" w14:textId="21077155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Objem nástřiku v rozsahu minimálně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54176" w14:textId="7B3084B2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0,5 až 10 uL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FAB3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09D4D340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4C545" w14:textId="6074EFF2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Přenos vzorku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EE43" w14:textId="2A85EBC6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&lt; 0,005 %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6677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7EF0EF46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A3DD2" w14:textId="5E7B2832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Kapacita automatického dávkovače (vyjádřeno pro  2-mL vialky)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26A59" w14:textId="6EC31E18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&gt; 90 kusů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8FA2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4E4D7FFA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CE24C" w14:textId="4C56BE89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Automatický dávkovač musí být schopen nástřiku vzorků z 96- a 384- jamkových mikrotitračních destiček, anebo musí být zvýšena kapacita automatického dávkovače až na minimálně 400 kusů 2-mL vialek.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2750C" w14:textId="254291E9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155E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43748ADD" w14:textId="77777777" w:rsidTr="000F250B">
        <w:trPr>
          <w:trHeight w:val="284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D5D63" w14:textId="22875169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LC část - kolonový termostat</w:t>
            </w:r>
          </w:p>
        </w:tc>
      </w:tr>
      <w:tr w:rsidR="00F343B7" w:rsidRPr="00F343B7" w14:paraId="628772C5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90CF" w14:textId="204EE24E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Kolonový termostat pro minimálně 1 kolonu o délce 150 mm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102A" w14:textId="4CED6A6E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1997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74E30ADE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8C17" w14:textId="127D8C43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Rozsah teplot minimálně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0F04" w14:textId="7AD35F73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+25 až +70°C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0349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0D2096B6" w14:textId="77777777" w:rsidTr="00935C8A">
        <w:trPr>
          <w:trHeight w:val="284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AFF8" w14:textId="4E36C9E1" w:rsidR="00F343B7" w:rsidRPr="00F343B7" w:rsidRDefault="00F343B7" w:rsidP="00F343B7">
            <w:pPr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Příslušenství</w:t>
            </w:r>
          </w:p>
        </w:tc>
      </w:tr>
      <w:tr w:rsidR="00F343B7" w:rsidRPr="00F343B7" w14:paraId="5981493E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72AB7" w14:textId="3A46B78C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Součástí nabídky je přístroj pracující na principu pneumatického mikrospreje vhodného pro nanášení matrice a enzymů pro multimodální molekulární zobrazování. Přístroj musí být schopen nanést 1 vrstvu matrice ve velmi krátkém čase (max. 2 min, vyjádřeno pro standardní sklíčko o velikosti zhruba 75 x 25 mm) a s maximální velikostí krystalů CHCA matrice 200 nm. Přístroj musí být také vybaven jednotkou pro enzymatickou degradaci proteinů v tkáni, s možností regulace teplot v rozmezí minimálně 10 až 50 °C. Přístroj musí být dodán včetně software, PC a všech licencí, </w:t>
            </w: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potřebných pro bezproblémový a plnohodnotný chod přístroje.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6B8C" w14:textId="78BE97E6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lastRenderedPageBreak/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B51F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7FC5B24D" w14:textId="77777777" w:rsidTr="000F250B">
        <w:trPr>
          <w:trHeight w:val="284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399F1" w14:textId="31AD9F9C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lastRenderedPageBreak/>
              <w:t>PC a Software</w:t>
            </w:r>
          </w:p>
        </w:tc>
      </w:tr>
      <w:tr w:rsidR="00F343B7" w:rsidRPr="00F343B7" w14:paraId="21EE5BC3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49326" w14:textId="25AC1E05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Jednotný systém pro řízení a sběr dat LC-MS systému jako celku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C3D1" w14:textId="767EA21B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E671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3448921D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5A9D3" w14:textId="5A16F4FA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PC včetně OEM licence operačního systému MS Windows 7/8/8.1/10 Professional, licence software pro multimodální molekulární zobrazování, a dále licence LC-MS software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D301" w14:textId="3184A5E4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8E8D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3B8378A4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BF3EE" w14:textId="5E76420D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LC-MS software umožňuje cílenou kvantifikaci s plně automaticky řízenou kontrolou volitelných parametrů - minimálně sledování poměru relativních intenzit vybraných iontů, kontrola reprodukovatelnosti retenčních časů, kontrola poměru signálu k šumu, výpočet a kontrola podlimitních a nadlimitních hodnot koncentrací analytů, výpočet a kontrola směrodatné odchylky standardů, výpočet výtěžnosti analýzy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A982" w14:textId="5D2FA803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B4F9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69F216DC" w14:textId="77777777" w:rsidTr="000F250B">
        <w:trPr>
          <w:trHeight w:val="284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C107" w14:textId="1C71E119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b/>
                <w:color w:val="000000" w:themeColor="text1"/>
                <w:sz w:val="22"/>
                <w:szCs w:val="22"/>
              </w:rPr>
              <w:t>Další požadavky</w:t>
            </w:r>
          </w:p>
        </w:tc>
      </w:tr>
      <w:tr w:rsidR="00F343B7" w:rsidRPr="00F343B7" w14:paraId="58C15273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03BA6" w14:textId="29BF04EA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Na celý systém je poskytnuta záruka v délce minimálně 12 měsíců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0267" w14:textId="5EF516E3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24FB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36651820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C0971" w14:textId="592FB479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Základní zaškolení obsluhy provedené v sídle zadavatele v délce minimálně 4 hodin je součástí dodávky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2ED86" w14:textId="1B17CEFD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ED5F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3BDE6FA1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860C9" w14:textId="0BDB1FE6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Pokročilé aplikační školení obsluhy provedené v sídle zadavatele v délce minimálně 2x24 hodin je součástí dodávky. Zaměření školení bude přizpůsobeno specifickým požadavkům uživatelů.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5DE54" w14:textId="30058BA7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1826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F343B7" w:rsidRPr="00F343B7" w14:paraId="39C97702" w14:textId="77777777" w:rsidTr="00194274">
        <w:trPr>
          <w:trHeight w:val="284"/>
        </w:trPr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C114" w14:textId="135906BC" w:rsidR="00F343B7" w:rsidRPr="00F343B7" w:rsidRDefault="00F343B7" w:rsidP="00F343B7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Reakční doba na oznámené vady do max. 24 hodin a zásahová doba k odstranění vady do maximálně 48 hodin od oznámení závady, a to v záruční i pozáruční době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0AB5" w14:textId="7184D32A" w:rsidR="00F343B7" w:rsidRPr="00F343B7" w:rsidRDefault="00F343B7" w:rsidP="00F343B7">
            <w:pPr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F343B7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B7EA" w14:textId="77777777" w:rsidR="00F343B7" w:rsidRPr="00F343B7" w:rsidRDefault="00F343B7" w:rsidP="00506AC5">
            <w:pPr>
              <w:spacing w:after="160" w:line="256" w:lineRule="auto"/>
              <w:jc w:val="center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71E8D5C1" w14:textId="77777777" w:rsidR="00194274" w:rsidRPr="00F343B7" w:rsidRDefault="00194274" w:rsidP="00194274">
      <w:pPr>
        <w:widowControl w:val="0"/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0C5D4D65" w14:textId="77777777" w:rsidR="00194274" w:rsidRPr="00F343B7" w:rsidRDefault="00194274" w:rsidP="00194274">
      <w:pPr>
        <w:widowControl w:val="0"/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p w14:paraId="4F55B3DB" w14:textId="77777777" w:rsidR="00194274" w:rsidRPr="00F343B7" w:rsidRDefault="00194274" w:rsidP="002914F1">
      <w:pPr>
        <w:widowControl w:val="0"/>
        <w:spacing w:line="276" w:lineRule="auto"/>
        <w:jc w:val="both"/>
        <w:rPr>
          <w:rFonts w:ascii="Century Gothic" w:hAnsi="Century Gothic"/>
          <w:color w:val="000000" w:themeColor="text1"/>
          <w:sz w:val="22"/>
          <w:szCs w:val="22"/>
        </w:rPr>
      </w:pPr>
    </w:p>
    <w:sectPr w:rsidR="00194274" w:rsidRPr="00F343B7" w:rsidSect="001834BF">
      <w:footerReference w:type="default" r:id="rId8"/>
      <w:pgSz w:w="11906" w:h="16838"/>
      <w:pgMar w:top="1417" w:right="1417" w:bottom="18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404C2" w14:textId="77777777" w:rsidR="00727AC7" w:rsidRDefault="00727AC7">
      <w:r>
        <w:separator/>
      </w:r>
    </w:p>
  </w:endnote>
  <w:endnote w:type="continuationSeparator" w:id="0">
    <w:p w14:paraId="2DF62F1C" w14:textId="77777777" w:rsidR="00727AC7" w:rsidRDefault="0072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5E164" w14:textId="77777777" w:rsidR="00545C5E" w:rsidRPr="00A41ED2" w:rsidRDefault="00545C5E">
    <w:pPr>
      <w:pStyle w:val="Zpat"/>
      <w:spacing w:before="120"/>
      <w:jc w:val="center"/>
      <w:rPr>
        <w:rFonts w:ascii="Century Gothic" w:hAnsi="Century Gothic"/>
        <w:b/>
        <w:bCs/>
        <w:color w:val="000099"/>
        <w:spacing w:val="70"/>
        <w:sz w:val="22"/>
        <w:szCs w:val="22"/>
      </w:rPr>
    </w:pP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PAGE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DD0D63">
      <w:rPr>
        <w:rStyle w:val="slostrnky"/>
        <w:rFonts w:ascii="Century Gothic" w:hAnsi="Century Gothic"/>
        <w:noProof/>
        <w:sz w:val="22"/>
        <w:szCs w:val="22"/>
      </w:rPr>
      <w:t>3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  <w:r w:rsidRPr="00A41ED2">
      <w:rPr>
        <w:rStyle w:val="slostrnky"/>
        <w:rFonts w:ascii="Century Gothic" w:hAnsi="Century Gothic" w:cs="Arial"/>
        <w:sz w:val="22"/>
        <w:szCs w:val="22"/>
      </w:rPr>
      <w:t>/</w:t>
    </w:r>
    <w:r w:rsidRPr="00A41ED2">
      <w:rPr>
        <w:rStyle w:val="slostrnky"/>
        <w:rFonts w:ascii="Century Gothic" w:hAnsi="Century Gothic"/>
        <w:sz w:val="22"/>
        <w:szCs w:val="22"/>
      </w:rPr>
      <w:fldChar w:fldCharType="begin"/>
    </w:r>
    <w:r w:rsidRPr="00A41ED2">
      <w:rPr>
        <w:rStyle w:val="slostrnky"/>
        <w:rFonts w:ascii="Century Gothic" w:hAnsi="Century Gothic"/>
        <w:sz w:val="22"/>
        <w:szCs w:val="22"/>
      </w:rPr>
      <w:instrText xml:space="preserve"> NUMPAGES </w:instrText>
    </w:r>
    <w:r w:rsidRPr="00A41ED2">
      <w:rPr>
        <w:rStyle w:val="slostrnky"/>
        <w:rFonts w:ascii="Century Gothic" w:hAnsi="Century Gothic"/>
        <w:sz w:val="22"/>
        <w:szCs w:val="22"/>
      </w:rPr>
      <w:fldChar w:fldCharType="separate"/>
    </w:r>
    <w:r w:rsidR="00DD0D63">
      <w:rPr>
        <w:rStyle w:val="slostrnky"/>
        <w:rFonts w:ascii="Century Gothic" w:hAnsi="Century Gothic"/>
        <w:noProof/>
        <w:sz w:val="22"/>
        <w:szCs w:val="22"/>
      </w:rPr>
      <w:t>3</w:t>
    </w:r>
    <w:r w:rsidRPr="00A41ED2">
      <w:rPr>
        <w:rStyle w:val="slostrnky"/>
        <w:rFonts w:ascii="Century Gothic" w:hAnsi="Century Gothic"/>
        <w:sz w:val="22"/>
        <w:szCs w:val="22"/>
      </w:rPr>
      <w:fldChar w:fldCharType="end"/>
    </w:r>
  </w:p>
  <w:p w14:paraId="743482E8" w14:textId="77777777" w:rsidR="00545C5E" w:rsidRDefault="00545C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6C856" w14:textId="77777777" w:rsidR="00727AC7" w:rsidRDefault="00727AC7">
      <w:r>
        <w:separator/>
      </w:r>
    </w:p>
  </w:footnote>
  <w:footnote w:type="continuationSeparator" w:id="0">
    <w:p w14:paraId="5FD60EF4" w14:textId="77777777" w:rsidR="00727AC7" w:rsidRDefault="0072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222E0"/>
    <w:multiLevelType w:val="multilevel"/>
    <w:tmpl w:val="C2FCAFA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F3D289D"/>
    <w:multiLevelType w:val="hybridMultilevel"/>
    <w:tmpl w:val="B64026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3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41"/>
    <w:rsid w:val="00003E23"/>
    <w:rsid w:val="00020F4B"/>
    <w:rsid w:val="00026274"/>
    <w:rsid w:val="0003106E"/>
    <w:rsid w:val="000316DD"/>
    <w:rsid w:val="00034358"/>
    <w:rsid w:val="000418BF"/>
    <w:rsid w:val="00050137"/>
    <w:rsid w:val="00055AAE"/>
    <w:rsid w:val="000570D4"/>
    <w:rsid w:val="00070C4C"/>
    <w:rsid w:val="00076504"/>
    <w:rsid w:val="000A4F35"/>
    <w:rsid w:val="000A6159"/>
    <w:rsid w:val="000B597E"/>
    <w:rsid w:val="000E0CE7"/>
    <w:rsid w:val="000E3A2B"/>
    <w:rsid w:val="000E595B"/>
    <w:rsid w:val="000F1FE4"/>
    <w:rsid w:val="000F250B"/>
    <w:rsid w:val="000F7672"/>
    <w:rsid w:val="001105BB"/>
    <w:rsid w:val="00114141"/>
    <w:rsid w:val="001263C5"/>
    <w:rsid w:val="0013541F"/>
    <w:rsid w:val="00145DE3"/>
    <w:rsid w:val="00153D39"/>
    <w:rsid w:val="0016039C"/>
    <w:rsid w:val="00160C05"/>
    <w:rsid w:val="00162F75"/>
    <w:rsid w:val="00171FC0"/>
    <w:rsid w:val="00177C3C"/>
    <w:rsid w:val="001834BF"/>
    <w:rsid w:val="00194274"/>
    <w:rsid w:val="001A6A89"/>
    <w:rsid w:val="001C01A4"/>
    <w:rsid w:val="001C1942"/>
    <w:rsid w:val="001D3CF9"/>
    <w:rsid w:val="001D7342"/>
    <w:rsid w:val="001E4DCE"/>
    <w:rsid w:val="001E5848"/>
    <w:rsid w:val="002144E8"/>
    <w:rsid w:val="00233017"/>
    <w:rsid w:val="00233CC5"/>
    <w:rsid w:val="00233D87"/>
    <w:rsid w:val="00276730"/>
    <w:rsid w:val="002914F1"/>
    <w:rsid w:val="00296FC5"/>
    <w:rsid w:val="00297F18"/>
    <w:rsid w:val="002C25AC"/>
    <w:rsid w:val="002D216D"/>
    <w:rsid w:val="002E0CD5"/>
    <w:rsid w:val="002E164D"/>
    <w:rsid w:val="002E2FF8"/>
    <w:rsid w:val="002F2734"/>
    <w:rsid w:val="00306FD2"/>
    <w:rsid w:val="003173D3"/>
    <w:rsid w:val="00327D95"/>
    <w:rsid w:val="003312D3"/>
    <w:rsid w:val="00332A56"/>
    <w:rsid w:val="003611C1"/>
    <w:rsid w:val="003628B0"/>
    <w:rsid w:val="00371529"/>
    <w:rsid w:val="003A4A36"/>
    <w:rsid w:val="003B64AD"/>
    <w:rsid w:val="003C20A4"/>
    <w:rsid w:val="003D3D4C"/>
    <w:rsid w:val="003F3238"/>
    <w:rsid w:val="00413BFE"/>
    <w:rsid w:val="00424D4B"/>
    <w:rsid w:val="00430F38"/>
    <w:rsid w:val="00464719"/>
    <w:rsid w:val="0047242D"/>
    <w:rsid w:val="0047701C"/>
    <w:rsid w:val="0048799C"/>
    <w:rsid w:val="00494B94"/>
    <w:rsid w:val="004A5683"/>
    <w:rsid w:val="004A6207"/>
    <w:rsid w:val="004B458E"/>
    <w:rsid w:val="004B57E8"/>
    <w:rsid w:val="004D0A61"/>
    <w:rsid w:val="004D4B9D"/>
    <w:rsid w:val="004E20C3"/>
    <w:rsid w:val="004E2643"/>
    <w:rsid w:val="004E2A4E"/>
    <w:rsid w:val="004F69EF"/>
    <w:rsid w:val="00506AC5"/>
    <w:rsid w:val="00507374"/>
    <w:rsid w:val="00511C7A"/>
    <w:rsid w:val="0053141B"/>
    <w:rsid w:val="00542A8E"/>
    <w:rsid w:val="00545C5E"/>
    <w:rsid w:val="005502A1"/>
    <w:rsid w:val="00562217"/>
    <w:rsid w:val="00566A48"/>
    <w:rsid w:val="0057222C"/>
    <w:rsid w:val="00582966"/>
    <w:rsid w:val="00593B05"/>
    <w:rsid w:val="005B2895"/>
    <w:rsid w:val="005D2CBA"/>
    <w:rsid w:val="005F6778"/>
    <w:rsid w:val="00603267"/>
    <w:rsid w:val="00610FAC"/>
    <w:rsid w:val="00621D00"/>
    <w:rsid w:val="0062373C"/>
    <w:rsid w:val="0064512F"/>
    <w:rsid w:val="00652BE7"/>
    <w:rsid w:val="0065441A"/>
    <w:rsid w:val="00674D42"/>
    <w:rsid w:val="00677702"/>
    <w:rsid w:val="006802F1"/>
    <w:rsid w:val="00692642"/>
    <w:rsid w:val="0069486A"/>
    <w:rsid w:val="006A098A"/>
    <w:rsid w:val="006B01B3"/>
    <w:rsid w:val="006B0FE1"/>
    <w:rsid w:val="006C4F5B"/>
    <w:rsid w:val="00707387"/>
    <w:rsid w:val="00727AC7"/>
    <w:rsid w:val="007325BF"/>
    <w:rsid w:val="00741D7C"/>
    <w:rsid w:val="0074534E"/>
    <w:rsid w:val="00745D7B"/>
    <w:rsid w:val="00760444"/>
    <w:rsid w:val="00760D2B"/>
    <w:rsid w:val="0077280A"/>
    <w:rsid w:val="007763B1"/>
    <w:rsid w:val="007A082B"/>
    <w:rsid w:val="007B55BA"/>
    <w:rsid w:val="007B59C6"/>
    <w:rsid w:val="007D0BD9"/>
    <w:rsid w:val="007D22A1"/>
    <w:rsid w:val="007D7972"/>
    <w:rsid w:val="007E13CB"/>
    <w:rsid w:val="007E1897"/>
    <w:rsid w:val="007E244F"/>
    <w:rsid w:val="007E32E2"/>
    <w:rsid w:val="007E41FB"/>
    <w:rsid w:val="00810AD5"/>
    <w:rsid w:val="00813C5B"/>
    <w:rsid w:val="00816D27"/>
    <w:rsid w:val="00821AC2"/>
    <w:rsid w:val="0083281A"/>
    <w:rsid w:val="0083387A"/>
    <w:rsid w:val="00845781"/>
    <w:rsid w:val="008603BA"/>
    <w:rsid w:val="00861B45"/>
    <w:rsid w:val="008650DA"/>
    <w:rsid w:val="00865B9F"/>
    <w:rsid w:val="0087083B"/>
    <w:rsid w:val="008822B6"/>
    <w:rsid w:val="00885DE4"/>
    <w:rsid w:val="008B4803"/>
    <w:rsid w:val="008C6C02"/>
    <w:rsid w:val="008E369F"/>
    <w:rsid w:val="008E4A2E"/>
    <w:rsid w:val="008E65BF"/>
    <w:rsid w:val="009043EE"/>
    <w:rsid w:val="00941E0F"/>
    <w:rsid w:val="0094643F"/>
    <w:rsid w:val="009644A5"/>
    <w:rsid w:val="00965E20"/>
    <w:rsid w:val="0097120E"/>
    <w:rsid w:val="009852A7"/>
    <w:rsid w:val="009952D3"/>
    <w:rsid w:val="009B45C9"/>
    <w:rsid w:val="009C173D"/>
    <w:rsid w:val="009C6E0B"/>
    <w:rsid w:val="009D3A69"/>
    <w:rsid w:val="009E4C49"/>
    <w:rsid w:val="009F082A"/>
    <w:rsid w:val="00A0283F"/>
    <w:rsid w:val="00A158F2"/>
    <w:rsid w:val="00A41ED2"/>
    <w:rsid w:val="00A444AD"/>
    <w:rsid w:val="00A53078"/>
    <w:rsid w:val="00A53C47"/>
    <w:rsid w:val="00A570D5"/>
    <w:rsid w:val="00A7397F"/>
    <w:rsid w:val="00A90663"/>
    <w:rsid w:val="00A94039"/>
    <w:rsid w:val="00AA42E5"/>
    <w:rsid w:val="00AB5392"/>
    <w:rsid w:val="00AB775A"/>
    <w:rsid w:val="00AD1F95"/>
    <w:rsid w:val="00AD32BE"/>
    <w:rsid w:val="00AD33EB"/>
    <w:rsid w:val="00AE2979"/>
    <w:rsid w:val="00B20E7D"/>
    <w:rsid w:val="00B42552"/>
    <w:rsid w:val="00B672CE"/>
    <w:rsid w:val="00B67747"/>
    <w:rsid w:val="00B77B59"/>
    <w:rsid w:val="00B8121E"/>
    <w:rsid w:val="00BA30FA"/>
    <w:rsid w:val="00BB3688"/>
    <w:rsid w:val="00BC5C8F"/>
    <w:rsid w:val="00BD7A0B"/>
    <w:rsid w:val="00BF03B6"/>
    <w:rsid w:val="00C4325A"/>
    <w:rsid w:val="00C51730"/>
    <w:rsid w:val="00C5298C"/>
    <w:rsid w:val="00C814BB"/>
    <w:rsid w:val="00C83FA0"/>
    <w:rsid w:val="00C94013"/>
    <w:rsid w:val="00C96278"/>
    <w:rsid w:val="00C96D93"/>
    <w:rsid w:val="00C97890"/>
    <w:rsid w:val="00CA727B"/>
    <w:rsid w:val="00CB5B5F"/>
    <w:rsid w:val="00CD4894"/>
    <w:rsid w:val="00CE2C87"/>
    <w:rsid w:val="00D04861"/>
    <w:rsid w:val="00D12F44"/>
    <w:rsid w:val="00D14EA5"/>
    <w:rsid w:val="00D225B1"/>
    <w:rsid w:val="00D34F6B"/>
    <w:rsid w:val="00D40EC8"/>
    <w:rsid w:val="00D46813"/>
    <w:rsid w:val="00D50FCC"/>
    <w:rsid w:val="00D562B0"/>
    <w:rsid w:val="00D67AFB"/>
    <w:rsid w:val="00D70533"/>
    <w:rsid w:val="00D82D5F"/>
    <w:rsid w:val="00D8576F"/>
    <w:rsid w:val="00D96B2C"/>
    <w:rsid w:val="00DB0FD7"/>
    <w:rsid w:val="00DB736D"/>
    <w:rsid w:val="00DB7666"/>
    <w:rsid w:val="00DC6969"/>
    <w:rsid w:val="00DD0D63"/>
    <w:rsid w:val="00DD456E"/>
    <w:rsid w:val="00DD5581"/>
    <w:rsid w:val="00DE00F9"/>
    <w:rsid w:val="00DE751B"/>
    <w:rsid w:val="00DF3D11"/>
    <w:rsid w:val="00DF4303"/>
    <w:rsid w:val="00E0262F"/>
    <w:rsid w:val="00E04C42"/>
    <w:rsid w:val="00E126F2"/>
    <w:rsid w:val="00E24186"/>
    <w:rsid w:val="00E379EB"/>
    <w:rsid w:val="00E648F0"/>
    <w:rsid w:val="00E66EBF"/>
    <w:rsid w:val="00E74127"/>
    <w:rsid w:val="00E80656"/>
    <w:rsid w:val="00E80C0B"/>
    <w:rsid w:val="00E877EF"/>
    <w:rsid w:val="00E93B8C"/>
    <w:rsid w:val="00EA361E"/>
    <w:rsid w:val="00EB6DAE"/>
    <w:rsid w:val="00ED78CC"/>
    <w:rsid w:val="00EF6856"/>
    <w:rsid w:val="00EF6BAB"/>
    <w:rsid w:val="00F329D1"/>
    <w:rsid w:val="00F343B7"/>
    <w:rsid w:val="00F4784F"/>
    <w:rsid w:val="00F55CC6"/>
    <w:rsid w:val="00F63A8D"/>
    <w:rsid w:val="00F6448A"/>
    <w:rsid w:val="00F72E07"/>
    <w:rsid w:val="00F74491"/>
    <w:rsid w:val="00FB26BE"/>
    <w:rsid w:val="00FC0EB4"/>
    <w:rsid w:val="00FC5941"/>
    <w:rsid w:val="00FD7AA1"/>
    <w:rsid w:val="00FD7BF0"/>
    <w:rsid w:val="00FF361E"/>
    <w:rsid w:val="00FF3675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CDB48A"/>
  <w15:docId w15:val="{DE5FD6CD-9D12-4D59-8861-9EFEE91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890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C97890"/>
    <w:rPr>
      <w:rFonts w:ascii="Century Gothic" w:hAnsi="Century Gothic" w:cs="Century Gothic"/>
      <w:b/>
      <w:bCs/>
      <w:kern w:val="32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F6448A"/>
    <w:pPr>
      <w:tabs>
        <w:tab w:val="left" w:pos="1276"/>
        <w:tab w:val="left" w:pos="1320"/>
        <w:tab w:val="right" w:leader="dot" w:pos="9062"/>
      </w:tabs>
      <w:spacing w:before="60"/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34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233017"/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79BCF-5D3A-4527-A5A6-395AACDF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728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5018</CharactersWithSpaces>
  <SharedDoc>false</SharedDoc>
  <HLinks>
    <vt:vector size="96" baseType="variant">
      <vt:variant>
        <vt:i4>1441894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8</cp:revision>
  <cp:lastPrinted>2016-09-22T09:39:00Z</cp:lastPrinted>
  <dcterms:created xsi:type="dcterms:W3CDTF">2016-09-30T06:17:00Z</dcterms:created>
  <dcterms:modified xsi:type="dcterms:W3CDTF">2016-09-30T12:22:00Z</dcterms:modified>
</cp:coreProperties>
</file>