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6EB7" w14:textId="77777777" w:rsidR="002914F1" w:rsidRPr="0022360A" w:rsidRDefault="002914F1" w:rsidP="002914F1">
      <w:pPr>
        <w:ind w:left="68"/>
        <w:jc w:val="center"/>
        <w:outlineLvl w:val="0"/>
        <w:rPr>
          <w:rFonts w:cs="Calibri"/>
          <w:b/>
        </w:rPr>
      </w:pPr>
    </w:p>
    <w:p w14:paraId="791F4EAD" w14:textId="77777777" w:rsidR="002914F1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  <w:bookmarkStart w:id="0" w:name="_Toc461786164"/>
      <w:r>
        <w:rPr>
          <w:rFonts w:ascii="Century Gothic" w:hAnsi="Century Gothic" w:cs="Calibri"/>
          <w:b/>
          <w:sz w:val="28"/>
          <w:szCs w:val="28"/>
        </w:rPr>
        <w:t>TECHNICKÁ SPECIFIKACE ZAKÁZKY</w:t>
      </w:r>
      <w:bookmarkEnd w:id="0"/>
    </w:p>
    <w:p w14:paraId="07F1A05E" w14:textId="77777777" w:rsidR="002F77DD" w:rsidRDefault="002F77DD" w:rsidP="002914F1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</w:p>
    <w:tbl>
      <w:tblPr>
        <w:tblW w:w="1033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5"/>
        <w:gridCol w:w="2079"/>
        <w:gridCol w:w="2079"/>
      </w:tblGrid>
      <w:tr w:rsidR="003F0C40" w:rsidRPr="00714372" w14:paraId="43E72272" w14:textId="419ADFDA" w:rsidTr="00EE0D81">
        <w:trPr>
          <w:cantSplit/>
          <w:trHeight w:val="895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AAD2" w14:textId="6BB2C3A2" w:rsidR="003F0C40" w:rsidRPr="00714372" w:rsidRDefault="003F0C40" w:rsidP="00EE0D81">
            <w:pPr>
              <w:jc w:val="center"/>
              <w:rPr>
                <w:rFonts w:ascii="Century Gothic" w:hAnsi="Century Gothic"/>
                <w:b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br w:type="page"/>
            </w:r>
            <w:r w:rsidRPr="00714372">
              <w:rPr>
                <w:rFonts w:ascii="Century Gothic" w:hAnsi="Century Gothic"/>
                <w:b/>
                <w:sz w:val="22"/>
                <w:szCs w:val="22"/>
              </w:rPr>
              <w:t>Součást zařízení/parametr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DF88" w14:textId="3EB3FB58" w:rsidR="003F0C40" w:rsidRPr="00714372" w:rsidRDefault="003F0C40" w:rsidP="00EE0D8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14372">
              <w:rPr>
                <w:rFonts w:ascii="Century Gothic" w:hAnsi="Century Gothic"/>
                <w:b/>
                <w:sz w:val="22"/>
                <w:szCs w:val="22"/>
              </w:rPr>
              <w:t>Požadovaná hodnota</w:t>
            </w:r>
            <w:r w:rsidR="00EE0D8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714372">
              <w:rPr>
                <w:rFonts w:ascii="Century Gothic" w:hAnsi="Century Gothic"/>
                <w:b/>
                <w:sz w:val="22"/>
                <w:szCs w:val="22"/>
              </w:rPr>
              <w:t>(Povinné parametry)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9512" w14:textId="61C97760" w:rsidR="003F0C40" w:rsidRPr="00714372" w:rsidRDefault="003F0C40" w:rsidP="003F0C4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Vyjádření uchazeče</w:t>
            </w:r>
          </w:p>
        </w:tc>
      </w:tr>
      <w:tr w:rsidR="003F0C40" w:rsidRPr="00714372" w14:paraId="4CA76F9B" w14:textId="7885BC6F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588B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Rozsah pracovních teplot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79E7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20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</w:t>
            </w:r>
            <w:r w:rsidRPr="001C5492">
              <w:rPr>
                <w:rFonts w:ascii="Century Gothic" w:hAnsi="Century Gothic"/>
                <w:sz w:val="22"/>
                <w:szCs w:val="22"/>
              </w:rPr>
              <w:t>40°C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9EB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5BA3D318" w14:textId="7D726F21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5B3C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Stabilita teploty při 25°C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E309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 w:cs="Arial"/>
                <w:sz w:val="22"/>
                <w:szCs w:val="22"/>
              </w:rPr>
              <w:t>±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0,0002°C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3F20" w14:textId="77777777" w:rsidR="003F0C40" w:rsidRPr="001C5492" w:rsidRDefault="003F0C40" w:rsidP="00EE0D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F0C40" w:rsidRPr="00011CCB" w14:paraId="6AF5A0D7" w14:textId="65686519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1F41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Minimální detekovatelné teplo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CACB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Menší než 0,5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</w:t>
            </w:r>
            <w:r w:rsidRPr="001C5492">
              <w:rPr>
                <w:rFonts w:ascii="Century Gothic" w:hAnsi="Century Gothic"/>
                <w:sz w:val="22"/>
                <w:szCs w:val="22"/>
              </w:rPr>
              <w:t>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BF1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011CCB" w14:paraId="57B47F5B" w14:textId="739D50E9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42CD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Maximální detekovatelné teplo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7A57C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Menší 5000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</w:t>
            </w:r>
            <w:r w:rsidRPr="001C5492">
              <w:rPr>
                <w:rFonts w:ascii="Century Gothic" w:hAnsi="Century Gothic"/>
                <w:sz w:val="22"/>
                <w:szCs w:val="22"/>
              </w:rPr>
              <w:t>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FE4A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0CE90833" w14:textId="336962A2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A2D2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Hodnota šumu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272F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1C5492">
              <w:rPr>
                <w:rFonts w:ascii="Century Gothic" w:hAnsi="Century Gothic" w:cs="Arial"/>
                <w:sz w:val="22"/>
                <w:szCs w:val="22"/>
              </w:rPr>
              <w:t>±</w:t>
            </w:r>
            <w:r w:rsidRPr="001C5492">
              <w:rPr>
                <w:rFonts w:ascii="Century Gothic" w:hAnsi="Century Gothic"/>
                <w:sz w:val="22"/>
                <w:szCs w:val="22"/>
              </w:rPr>
              <w:t>2,5 nW, nebo méně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9D2B" w14:textId="77777777" w:rsidR="003F0C40" w:rsidRPr="001C5492" w:rsidRDefault="003F0C40" w:rsidP="00EE0D81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F0C40" w:rsidRPr="00714372" w14:paraId="6D531648" w14:textId="3F0F5CED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4300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Minimální čas odezvy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32DD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max. 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Pr="001C5492">
              <w:rPr>
                <w:rFonts w:ascii="Century Gothic" w:hAnsi="Century Gothic"/>
                <w:sz w:val="22"/>
                <w:szCs w:val="22"/>
              </w:rPr>
              <w:t>0 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D5ED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02BC6631" w14:textId="2957B92B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CBBB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Možnost volby času odezvy uživatelem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69D47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78D2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287CDBF9" w14:textId="0D92CDBC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1E86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Materiál cely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C16A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Chemicky vysoce odolný (např. niklová slitina Hastelloy)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56AC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6E34F96F" w14:textId="0668F93A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987A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Objem cely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62ED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Max. 200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96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3BB59716" w14:textId="6DF9E1CA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0147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Konfigurace cely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AE4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Cela není odnímatelná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E404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1B1839C9" w14:textId="14D33B02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FC43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Pro maximální citlivost je požadována cela s plochým designem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64F0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Tvar mince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6F22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24EB34E8" w14:textId="2E330FB1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8B65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Systém je vybaven automatickým dávkovačem reagencií do měřící cely s volbou titrace definovaným objemem v definovaných časových intervalech nebo jednorázovým kontinuálním přídavkem.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5E1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6CF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6D5B40C9" w14:textId="7A56B769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639F" w14:textId="2BC831D8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Maximální objem vzorku (tj. celkový objem vzorku, který může být v</w:t>
            </w:r>
            <w:r w:rsidR="00FA7EAB">
              <w:rPr>
                <w:rFonts w:ascii="Century Gothic" w:hAnsi="Century Gothic"/>
                <w:sz w:val="22"/>
                <w:szCs w:val="22"/>
              </w:rPr>
              <w:t> </w:t>
            </w:r>
            <w:r w:rsidRPr="001C5492">
              <w:rPr>
                <w:rFonts w:ascii="Century Gothic" w:hAnsi="Century Gothic"/>
                <w:sz w:val="22"/>
                <w:szCs w:val="22"/>
              </w:rPr>
              <w:t>měřící</w:t>
            </w:r>
            <w:r w:rsidR="00FA7EAB">
              <w:rPr>
                <w:rFonts w:ascii="Century Gothic" w:hAnsi="Century Gothic"/>
                <w:sz w:val="22"/>
                <w:szCs w:val="22"/>
              </w:rPr>
              <w:t xml:space="preserve"> cele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včetně mrtvého objemu</w:t>
            </w:r>
            <w:r w:rsidRPr="001C5492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C591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280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μL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2CDB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68DB6ABF" w14:textId="5310B52F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5BA0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Objem injekční stříkačky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E5A9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Max. 40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E01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665144A2" w14:textId="7F3745B5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FFDF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Přesnost injekční stříkačky (při dávkování 2 </w:t>
            </w:r>
            <w:r w:rsidRPr="001C5492">
              <w:rPr>
                <w:rFonts w:ascii="Century Gothic" w:hAnsi="Century Gothic" w:cs="Arial"/>
                <w:sz w:val="22"/>
                <w:szCs w:val="22"/>
              </w:rPr>
              <w:t>μL)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E9BA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1% obj. nebo lepší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3FCC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358555E6" w14:textId="1AEE1F26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E04E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Možnost nastavení volby rychlosti míchání reakční směsi v cele přístroje s uvedeným rozsahem nastavení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E7EE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A47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1B255B5E" w14:textId="3E0B0A6D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D3A7C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Součástí dodávky je ř</w:t>
            </w:r>
            <w:r w:rsidRPr="001C5492">
              <w:rPr>
                <w:rFonts w:ascii="Century Gothic" w:hAnsi="Century Gothic"/>
                <w:sz w:val="22"/>
                <w:szCs w:val="22"/>
              </w:rPr>
              <w:t>ídící stanice včetně barevného monitoru (úhlopříčka min 23 palc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1C5492">
              <w:rPr>
                <w:rFonts w:ascii="Century Gothic" w:hAnsi="Century Gothic"/>
                <w:sz w:val="22"/>
                <w:szCs w:val="22"/>
              </w:rPr>
              <w:t>), software pro ovládání přístroje, měření a vyhodnocení vazebné afinity, stechiometrie, entalpie a entropie</w:t>
            </w:r>
            <w:r w:rsidRPr="001C549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z naměřených dat v prostředí kalorimetrického softwaru 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jiného matematického softwaru, vhodného pro pokročilé zpracování dat včetně fittingů a integrací, textově editačními a kreslícími nástroji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9065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B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02D00269" w14:textId="19ADCAAB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F57A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lastRenderedPageBreak/>
              <w:t>P</w:t>
            </w: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bude dále dodáno 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včetně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OEM licence operačního systému MS </w:t>
            </w:r>
            <w:r w:rsidRPr="001C5492">
              <w:rPr>
                <w:rFonts w:ascii="Century Gothic" w:hAnsi="Century Gothic"/>
                <w:sz w:val="22"/>
                <w:szCs w:val="22"/>
              </w:rPr>
              <w:t>Windows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7/8/8.1/10 P</w:t>
            </w:r>
            <w:r w:rsidRPr="001C5492">
              <w:rPr>
                <w:rFonts w:ascii="Century Gothic" w:hAnsi="Century Gothic"/>
                <w:sz w:val="22"/>
                <w:szCs w:val="22"/>
              </w:rPr>
              <w:t>rofessional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licence software </w:t>
            </w:r>
            <w:r w:rsidRPr="001C5492">
              <w:rPr>
                <w:rFonts w:ascii="Century Gothic" w:hAnsi="Century Gothic"/>
                <w:sz w:val="22"/>
                <w:szCs w:val="22"/>
              </w:rPr>
              <w:t>MS Office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2013/2016 Standard, licence matematického softwaru (umožňujícího pík fitting, integraci, statistické zpracování dat, image procesování apod.),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dále licence </w:t>
            </w:r>
            <w:r w:rsidRPr="001C5492">
              <w:rPr>
                <w:rFonts w:ascii="Century Gothic" w:hAnsi="Century Gothic"/>
                <w:sz w:val="22"/>
                <w:szCs w:val="22"/>
              </w:rPr>
              <w:t>kalorimetrick</w:t>
            </w:r>
            <w:r>
              <w:rPr>
                <w:rFonts w:ascii="Century Gothic" w:hAnsi="Century Gothic"/>
                <w:sz w:val="22"/>
                <w:szCs w:val="22"/>
              </w:rPr>
              <w:t>ého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softwar</w:t>
            </w:r>
            <w:r>
              <w:rPr>
                <w:rFonts w:ascii="Century Gothic" w:hAnsi="Century Gothic"/>
                <w:sz w:val="22"/>
                <w:szCs w:val="22"/>
              </w:rPr>
              <w:t>e.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F202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C1A9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33CBB38B" w14:textId="57C64B6E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2BCC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 xml:space="preserve">Přístroj </w:t>
            </w:r>
            <w:r>
              <w:rPr>
                <w:rFonts w:ascii="Century Gothic" w:hAnsi="Century Gothic"/>
                <w:sz w:val="22"/>
                <w:szCs w:val="22"/>
              </w:rPr>
              <w:t>umožňuje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3 kalibrované, uživatelsky nastavitelné doby odezvy pro optimalizaci experimentálních podmínek ve vztahu ke vzorku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E6AF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AF6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2ACCC19A" w14:textId="187DC03D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986A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oftware 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uživatelsky voliteln</w:t>
            </w:r>
            <w:r>
              <w:rPr>
                <w:rFonts w:ascii="Century Gothic" w:hAnsi="Century Gothic"/>
                <w:sz w:val="22"/>
                <w:szCs w:val="22"/>
              </w:rPr>
              <w:t>ými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vazebn</w:t>
            </w:r>
            <w:r>
              <w:rPr>
                <w:rFonts w:ascii="Century Gothic" w:hAnsi="Century Gothic"/>
                <w:sz w:val="22"/>
                <w:szCs w:val="22"/>
              </w:rPr>
              <w:t>ými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modely pro vyhodnocení experimentálních dat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E7D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9218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71291BBC" w14:textId="00A56376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0804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Součástí systému musí být zařízení a software pro automatické zálohování řídící jednotky a naměřených dat o celkové kapacitě minimálně 2TB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377B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6F1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60E6C16B" w14:textId="70455AC7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E206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Automatické um</w:t>
            </w:r>
            <w:r>
              <w:rPr>
                <w:rFonts w:ascii="Century Gothic" w:hAnsi="Century Gothic"/>
                <w:sz w:val="22"/>
                <w:szCs w:val="22"/>
              </w:rPr>
              <w:t>ývání detergentem cely vzorku a </w:t>
            </w:r>
            <w:r w:rsidRPr="001C5492">
              <w:rPr>
                <w:rFonts w:ascii="Century Gothic" w:hAnsi="Century Gothic"/>
                <w:sz w:val="22"/>
                <w:szCs w:val="22"/>
              </w:rPr>
              <w:t>titrační stříkačky s možností čistění cel při zvýšených teplotách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DB37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79EF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56EBC5AF" w14:textId="532A8031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0A0E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Možnost plně automatického upgrade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68F1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4C0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714372" w14:paraId="3AC46996" w14:textId="207CB146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A623" w14:textId="77777777" w:rsidR="003F0C40" w:rsidRPr="001C5492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Součástí dodávky je p</w:t>
            </w:r>
            <w:r w:rsidRPr="001C5492">
              <w:rPr>
                <w:rFonts w:ascii="Century Gothic" w:hAnsi="Century Gothic"/>
                <w:sz w:val="22"/>
                <w:szCs w:val="22"/>
              </w:rPr>
              <w:t>rovedení 2 nelékopisných kvalifikací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(standardní test výrobce pro ověření správnosti měření přístroje)</w:t>
            </w:r>
            <w:r w:rsidRPr="001C5492">
              <w:rPr>
                <w:rFonts w:ascii="Century Gothic" w:hAnsi="Century Gothic"/>
                <w:sz w:val="22"/>
                <w:szCs w:val="22"/>
              </w:rPr>
              <w:t xml:space="preserve"> a to po instalaci přístroje a po prvním, případně druhém roce provozu přístroje podle doporučení výrobce. Součástí druhé nelékopisné kvalifikace bude preventivní údržba.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16535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94C2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C54051" w14:paraId="361D05FD" w14:textId="06BCB783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7656" w14:textId="77777777" w:rsidR="003F0C40" w:rsidRPr="00A26BFA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Součástí dodávky jsou 3 roky záruky (záruka se vztahuje na celý přístroj včetně spotřebních dílů, které budou součástí dodávky),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doprava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přístroje na místo instalace a školení obsluhy (v rozsahu min</w:t>
            </w:r>
            <w:r>
              <w:rPr>
                <w:rFonts w:ascii="Century Gothic" w:hAnsi="Century Gothic"/>
                <w:sz w:val="22"/>
                <w:szCs w:val="22"/>
              </w:rPr>
              <w:t>imálně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2 dn</w:t>
            </w:r>
            <w:r>
              <w:rPr>
                <w:rFonts w:ascii="Century Gothic" w:hAnsi="Century Gothic"/>
                <w:sz w:val="22"/>
                <w:szCs w:val="22"/>
              </w:rPr>
              <w:t>y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v místě instalace po instalaci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 2 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denní školení pro pokročilé v průběhu prvního roku po instalaci přístroje).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88BA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8AF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C54051" w14:paraId="65494070" w14:textId="69FD7EF9" w:rsidTr="00EE0D81">
        <w:trPr>
          <w:cantSplit/>
          <w:trHeight w:val="107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7A27" w14:textId="77777777" w:rsidR="003F0C40" w:rsidRPr="00A26BFA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Součástí Nabídky je responzní doba 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do max. 24 hodin a zásahová doba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k odstranění vady 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do maximálně </w:t>
            </w:r>
            <w:r>
              <w:rPr>
                <w:rFonts w:ascii="Century Gothic" w:hAnsi="Century Gothic"/>
                <w:sz w:val="22"/>
                <w:szCs w:val="22"/>
              </w:rPr>
              <w:t>72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hodin od </w:t>
            </w:r>
            <w:r>
              <w:rPr>
                <w:rFonts w:ascii="Century Gothic" w:hAnsi="Century Gothic"/>
                <w:sz w:val="22"/>
                <w:szCs w:val="22"/>
              </w:rPr>
              <w:t>nahlášení problému, a to</w:t>
            </w:r>
            <w:r w:rsidRPr="00A26BFA">
              <w:rPr>
                <w:rFonts w:ascii="Century Gothic" w:hAnsi="Century Gothic"/>
                <w:sz w:val="22"/>
                <w:szCs w:val="22"/>
              </w:rPr>
              <w:t xml:space="preserve"> v záruční i pozáruční době</w:t>
            </w:r>
            <w:r>
              <w:rPr>
                <w:rFonts w:ascii="Century Gothic" w:hAnsi="Century Gothic"/>
                <w:sz w:val="22"/>
                <w:szCs w:val="22"/>
              </w:rPr>
              <w:t>. Týká se nahlášení problému i odezev servisu v pracovních dnech od 8:00 do 16:30.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E95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08A6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C54051" w14:paraId="2FB2E2F8" w14:textId="52419B40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EB5E" w14:textId="77777777" w:rsidR="003F0C40" w:rsidRPr="00A26BFA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Součástí Nabídky je s</w:t>
            </w:r>
            <w:r w:rsidRPr="00A26BFA">
              <w:rPr>
                <w:rFonts w:ascii="Century Gothic" w:hAnsi="Century Gothic"/>
                <w:sz w:val="22"/>
                <w:szCs w:val="22"/>
              </w:rPr>
              <w:t>tálá aplikační podpora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po celou dobu životnosti přístroje, </w:t>
            </w:r>
            <w:r w:rsidRPr="00C67EB7">
              <w:rPr>
                <w:rFonts w:ascii="Century Gothic" w:hAnsi="Century Gothic"/>
                <w:sz w:val="22"/>
                <w:szCs w:val="22"/>
              </w:rPr>
              <w:t xml:space="preserve">která bude minimálně zahrnovat konzultace analýz na ITC a dále poradenství v oblasti aplikací ITC, zpracování a interpretace dat.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5775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5492"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303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C54051" w14:paraId="0132A706" w14:textId="715F1EFB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1829" w14:textId="77777777" w:rsidR="003F0C40" w:rsidRPr="00820948" w:rsidRDefault="003F0C40" w:rsidP="00EE0D81">
            <w:pPr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FF1C8A">
              <w:rPr>
                <w:rFonts w:ascii="Century Gothic" w:hAnsi="Century Gothic"/>
                <w:sz w:val="22"/>
                <w:szCs w:val="22"/>
              </w:rPr>
              <w:t xml:space="preserve">Součástí </w:t>
            </w:r>
            <w:r>
              <w:rPr>
                <w:rFonts w:ascii="Century Gothic" w:hAnsi="Century Gothic"/>
                <w:sz w:val="22"/>
                <w:szCs w:val="22"/>
              </w:rPr>
              <w:t>N</w:t>
            </w:r>
            <w:r w:rsidRPr="00FF1C8A">
              <w:rPr>
                <w:rFonts w:ascii="Century Gothic" w:hAnsi="Century Gothic"/>
                <w:sz w:val="22"/>
                <w:szCs w:val="22"/>
              </w:rPr>
              <w:t>abídky bud</w:t>
            </w:r>
            <w:r>
              <w:rPr>
                <w:rFonts w:ascii="Century Gothic" w:hAnsi="Century Gothic"/>
                <w:sz w:val="22"/>
                <w:szCs w:val="22"/>
              </w:rPr>
              <w:t>ou</w:t>
            </w:r>
            <w:r w:rsidRPr="00FF1C8A">
              <w:rPr>
                <w:rFonts w:ascii="Century Gothic" w:hAnsi="Century Gothic"/>
                <w:sz w:val="22"/>
                <w:szCs w:val="22"/>
              </w:rPr>
              <w:t xml:space="preserve"> záznam</w:t>
            </w:r>
            <w:r>
              <w:rPr>
                <w:rFonts w:ascii="Century Gothic" w:hAnsi="Century Gothic"/>
                <w:sz w:val="22"/>
                <w:szCs w:val="22"/>
              </w:rPr>
              <w:t>y</w:t>
            </w:r>
            <w:r w:rsidRPr="00FF1C8A">
              <w:rPr>
                <w:rFonts w:ascii="Century Gothic" w:hAnsi="Century Gothic"/>
                <w:sz w:val="22"/>
                <w:szCs w:val="22"/>
              </w:rPr>
              <w:t xml:space="preserve"> z analýzy </w:t>
            </w:r>
            <w:r>
              <w:rPr>
                <w:rFonts w:ascii="Century Gothic" w:hAnsi="Century Gothic"/>
                <w:sz w:val="22"/>
                <w:szCs w:val="22"/>
              </w:rPr>
              <w:t>titrace</w:t>
            </w:r>
            <w:r w:rsidRPr="00FF1C8A">
              <w:rPr>
                <w:rFonts w:ascii="Century Gothic" w:hAnsi="Century Gothic"/>
                <w:sz w:val="22"/>
                <w:szCs w:val="22"/>
              </w:rPr>
              <w:t xml:space="preserve"> poskytnutého vzorku (čl. 13.5), kter</w:t>
            </w:r>
            <w:r>
              <w:rPr>
                <w:rFonts w:ascii="Century Gothic" w:hAnsi="Century Gothic"/>
                <w:sz w:val="22"/>
                <w:szCs w:val="22"/>
              </w:rPr>
              <w:t>é</w:t>
            </w:r>
            <w:r w:rsidRPr="00FF1C8A">
              <w:rPr>
                <w:rFonts w:ascii="Century Gothic" w:hAnsi="Century Gothic"/>
                <w:sz w:val="22"/>
                <w:szCs w:val="22"/>
              </w:rPr>
              <w:t xml:space="preserve"> bud</w:t>
            </w:r>
            <w:r>
              <w:rPr>
                <w:rFonts w:ascii="Century Gothic" w:hAnsi="Century Gothic"/>
                <w:sz w:val="22"/>
                <w:szCs w:val="22"/>
              </w:rPr>
              <w:t>ou</w:t>
            </w:r>
            <w:r w:rsidRPr="00FF1C8A">
              <w:rPr>
                <w:rFonts w:ascii="Century Gothic" w:hAnsi="Century Gothic"/>
                <w:sz w:val="22"/>
                <w:szCs w:val="22"/>
              </w:rPr>
              <w:t xml:space="preserve"> splňovat podmínky obsažené v Příloze 4.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D575" w14:textId="77777777" w:rsidR="003F0C40" w:rsidRPr="001C5492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ano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7BAB" w14:textId="77777777" w:rsidR="003F0C40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C40" w:rsidRPr="00C54051" w14:paraId="47A16B2D" w14:textId="1D792BF6" w:rsidTr="00EE0D81">
        <w:trPr>
          <w:cantSplit/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4987" w14:textId="77777777" w:rsidR="003F0C40" w:rsidRPr="00FF1C8A" w:rsidRDefault="003F0C40" w:rsidP="00EE0D8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67EB7">
              <w:rPr>
                <w:rFonts w:ascii="Century Gothic" w:hAnsi="Century Gothic"/>
                <w:sz w:val="22"/>
                <w:szCs w:val="22"/>
              </w:rPr>
              <w:t>Analýza stejného vzorku (viz předchozí řádek) bude provedena i po instalaci přístroje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při pokročilém školení</w:t>
            </w:r>
            <w:r w:rsidRPr="00C67EB7">
              <w:rPr>
                <w:rFonts w:ascii="Century Gothic" w:hAnsi="Century Gothic"/>
                <w:sz w:val="22"/>
                <w:szCs w:val="22"/>
              </w:rPr>
              <w:t>, kdy se naměřený záznam bude muset kvalitativně shodovat se záznamem v Nabídce.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8A4C" w14:textId="77777777" w:rsidR="003F0C40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31DE" w14:textId="77777777" w:rsidR="003F0C40" w:rsidRDefault="003F0C40" w:rsidP="00EE0D8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52A2BC8" w14:textId="452D0B63" w:rsidR="002F77DD" w:rsidRDefault="004D0CF5" w:rsidP="004D0CF5">
      <w:pPr>
        <w:rPr>
          <w:rFonts w:ascii="Century Gothic" w:hAnsi="Century Gothic" w:cs="Calibri"/>
          <w:b/>
          <w:sz w:val="28"/>
          <w:szCs w:val="28"/>
        </w:rPr>
      </w:pPr>
      <w:bookmarkStart w:id="1" w:name="_GoBack"/>
      <w:bookmarkEnd w:id="1"/>
      <w:r>
        <w:rPr>
          <w:rFonts w:ascii="Century Gothic" w:hAnsi="Century Gothic" w:cs="Calibri"/>
          <w:b/>
          <w:sz w:val="28"/>
          <w:szCs w:val="28"/>
        </w:rPr>
        <w:t xml:space="preserve"> </w:t>
      </w:r>
    </w:p>
    <w:p w14:paraId="411A333E" w14:textId="77777777" w:rsidR="002914F1" w:rsidRPr="00D82D5F" w:rsidRDefault="002914F1" w:rsidP="002914F1">
      <w:pPr>
        <w:widowControl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2914F1" w:rsidRPr="00D82D5F" w:rsidSect="001834BF">
      <w:footerReference w:type="default" r:id="rId8"/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9394" w14:textId="77777777" w:rsidR="00FA7EAB" w:rsidRDefault="00FA7EAB">
      <w:r>
        <w:separator/>
      </w:r>
    </w:p>
  </w:endnote>
  <w:endnote w:type="continuationSeparator" w:id="0">
    <w:p w14:paraId="34BD6177" w14:textId="77777777" w:rsidR="00FA7EAB" w:rsidRDefault="00F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E164" w14:textId="77777777" w:rsidR="00FA7EAB" w:rsidRPr="00A41ED2" w:rsidRDefault="00FA7EAB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4D0CF5">
      <w:rPr>
        <w:rStyle w:val="slostrnky"/>
        <w:rFonts w:ascii="Century Gothic" w:hAnsi="Century Gothic"/>
        <w:noProof/>
        <w:sz w:val="22"/>
        <w:szCs w:val="22"/>
      </w:rPr>
      <w:t>1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4D0CF5">
      <w:rPr>
        <w:rStyle w:val="slostrnky"/>
        <w:rFonts w:ascii="Century Gothic" w:hAnsi="Century Gothic"/>
        <w:noProof/>
        <w:sz w:val="22"/>
        <w:szCs w:val="22"/>
      </w:rPr>
      <w:t>2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14:paraId="743482E8" w14:textId="77777777" w:rsidR="00FA7EAB" w:rsidRDefault="00FA7E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1252" w14:textId="77777777" w:rsidR="00FA7EAB" w:rsidRDefault="00FA7EAB">
      <w:r>
        <w:separator/>
      </w:r>
    </w:p>
  </w:footnote>
  <w:footnote w:type="continuationSeparator" w:id="0">
    <w:p w14:paraId="705483A8" w14:textId="77777777" w:rsidR="00FA7EAB" w:rsidRDefault="00FA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5EBCBF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6DF50C60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20F4B"/>
    <w:rsid w:val="00026274"/>
    <w:rsid w:val="00030069"/>
    <w:rsid w:val="000316DD"/>
    <w:rsid w:val="00034358"/>
    <w:rsid w:val="000418BF"/>
    <w:rsid w:val="00055AAE"/>
    <w:rsid w:val="000570D4"/>
    <w:rsid w:val="00076504"/>
    <w:rsid w:val="000A4F35"/>
    <w:rsid w:val="000A6159"/>
    <w:rsid w:val="000B597E"/>
    <w:rsid w:val="000E0CE7"/>
    <w:rsid w:val="000E3A2B"/>
    <w:rsid w:val="000E595B"/>
    <w:rsid w:val="000E5A03"/>
    <w:rsid w:val="000F1FE4"/>
    <w:rsid w:val="001105BB"/>
    <w:rsid w:val="0011529C"/>
    <w:rsid w:val="001263C5"/>
    <w:rsid w:val="0013398E"/>
    <w:rsid w:val="0013541F"/>
    <w:rsid w:val="00160C05"/>
    <w:rsid w:val="00162F75"/>
    <w:rsid w:val="00171FC0"/>
    <w:rsid w:val="001834BF"/>
    <w:rsid w:val="001A6A89"/>
    <w:rsid w:val="001A75EC"/>
    <w:rsid w:val="001C1942"/>
    <w:rsid w:val="001D3CF9"/>
    <w:rsid w:val="001D7342"/>
    <w:rsid w:val="001E4DCE"/>
    <w:rsid w:val="00216EB6"/>
    <w:rsid w:val="00233017"/>
    <w:rsid w:val="00233CC5"/>
    <w:rsid w:val="00276730"/>
    <w:rsid w:val="002914F1"/>
    <w:rsid w:val="00296FC5"/>
    <w:rsid w:val="00297F18"/>
    <w:rsid w:val="002C25AC"/>
    <w:rsid w:val="002D216D"/>
    <w:rsid w:val="002E2FF8"/>
    <w:rsid w:val="002F2734"/>
    <w:rsid w:val="002F77DD"/>
    <w:rsid w:val="00306FD2"/>
    <w:rsid w:val="00327D95"/>
    <w:rsid w:val="003312D3"/>
    <w:rsid w:val="00337BA7"/>
    <w:rsid w:val="003611C1"/>
    <w:rsid w:val="003628B0"/>
    <w:rsid w:val="00371D9F"/>
    <w:rsid w:val="0039703C"/>
    <w:rsid w:val="003A4A36"/>
    <w:rsid w:val="003B4743"/>
    <w:rsid w:val="003B5D19"/>
    <w:rsid w:val="003C20A4"/>
    <w:rsid w:val="003F0C40"/>
    <w:rsid w:val="003F3238"/>
    <w:rsid w:val="00413BFE"/>
    <w:rsid w:val="00424D4B"/>
    <w:rsid w:val="00424D69"/>
    <w:rsid w:val="00430B82"/>
    <w:rsid w:val="00430F38"/>
    <w:rsid w:val="00464719"/>
    <w:rsid w:val="0047242D"/>
    <w:rsid w:val="004872BD"/>
    <w:rsid w:val="00494B94"/>
    <w:rsid w:val="004A5683"/>
    <w:rsid w:val="004A6207"/>
    <w:rsid w:val="004B57E8"/>
    <w:rsid w:val="004C2FF7"/>
    <w:rsid w:val="004D0A61"/>
    <w:rsid w:val="004D0CF5"/>
    <w:rsid w:val="004D4B9D"/>
    <w:rsid w:val="004E20C3"/>
    <w:rsid w:val="004F69EF"/>
    <w:rsid w:val="00511C7A"/>
    <w:rsid w:val="005230AA"/>
    <w:rsid w:val="00561A7B"/>
    <w:rsid w:val="00562217"/>
    <w:rsid w:val="0057222C"/>
    <w:rsid w:val="00582966"/>
    <w:rsid w:val="005D2CBA"/>
    <w:rsid w:val="005D53FB"/>
    <w:rsid w:val="005F6778"/>
    <w:rsid w:val="00610FAC"/>
    <w:rsid w:val="0064512F"/>
    <w:rsid w:val="00652BE7"/>
    <w:rsid w:val="0065441A"/>
    <w:rsid w:val="00661A1F"/>
    <w:rsid w:val="00672FD1"/>
    <w:rsid w:val="00674D42"/>
    <w:rsid w:val="00677702"/>
    <w:rsid w:val="006802F1"/>
    <w:rsid w:val="00692642"/>
    <w:rsid w:val="0069486A"/>
    <w:rsid w:val="006A098A"/>
    <w:rsid w:val="006B01B3"/>
    <w:rsid w:val="006C4F5B"/>
    <w:rsid w:val="00707387"/>
    <w:rsid w:val="007325BF"/>
    <w:rsid w:val="00734F80"/>
    <w:rsid w:val="0074534E"/>
    <w:rsid w:val="00745D7B"/>
    <w:rsid w:val="00760444"/>
    <w:rsid w:val="00760D2B"/>
    <w:rsid w:val="0077280A"/>
    <w:rsid w:val="007763B1"/>
    <w:rsid w:val="007A082B"/>
    <w:rsid w:val="007B730C"/>
    <w:rsid w:val="007C3167"/>
    <w:rsid w:val="007D0BD9"/>
    <w:rsid w:val="007D7972"/>
    <w:rsid w:val="007E13CB"/>
    <w:rsid w:val="007E32E2"/>
    <w:rsid w:val="007E41FB"/>
    <w:rsid w:val="00801718"/>
    <w:rsid w:val="00801FE5"/>
    <w:rsid w:val="00810AD5"/>
    <w:rsid w:val="00813C5B"/>
    <w:rsid w:val="00816D27"/>
    <w:rsid w:val="00820948"/>
    <w:rsid w:val="008220EC"/>
    <w:rsid w:val="00845781"/>
    <w:rsid w:val="00861B45"/>
    <w:rsid w:val="008650DA"/>
    <w:rsid w:val="00865B9F"/>
    <w:rsid w:val="0087083B"/>
    <w:rsid w:val="008822B6"/>
    <w:rsid w:val="00882EE9"/>
    <w:rsid w:val="00885DE4"/>
    <w:rsid w:val="008A572F"/>
    <w:rsid w:val="008B4803"/>
    <w:rsid w:val="008E369F"/>
    <w:rsid w:val="008E4A2E"/>
    <w:rsid w:val="008E65BF"/>
    <w:rsid w:val="00912DA3"/>
    <w:rsid w:val="00941E0F"/>
    <w:rsid w:val="0094643F"/>
    <w:rsid w:val="00965E20"/>
    <w:rsid w:val="0097120E"/>
    <w:rsid w:val="009852A7"/>
    <w:rsid w:val="009952D3"/>
    <w:rsid w:val="009B45C9"/>
    <w:rsid w:val="009C417A"/>
    <w:rsid w:val="009C6E0B"/>
    <w:rsid w:val="009E4C49"/>
    <w:rsid w:val="009F082A"/>
    <w:rsid w:val="00A0283F"/>
    <w:rsid w:val="00A158F2"/>
    <w:rsid w:val="00A36C9B"/>
    <w:rsid w:val="00A41ED2"/>
    <w:rsid w:val="00A444AD"/>
    <w:rsid w:val="00A53078"/>
    <w:rsid w:val="00A53C47"/>
    <w:rsid w:val="00A570D5"/>
    <w:rsid w:val="00A71D0D"/>
    <w:rsid w:val="00A7397F"/>
    <w:rsid w:val="00A94039"/>
    <w:rsid w:val="00AA42E5"/>
    <w:rsid w:val="00AD1F95"/>
    <w:rsid w:val="00AD32BE"/>
    <w:rsid w:val="00AD33EB"/>
    <w:rsid w:val="00AE2979"/>
    <w:rsid w:val="00B36661"/>
    <w:rsid w:val="00B518C9"/>
    <w:rsid w:val="00B672CE"/>
    <w:rsid w:val="00B67747"/>
    <w:rsid w:val="00B77B59"/>
    <w:rsid w:val="00B8121E"/>
    <w:rsid w:val="00B84756"/>
    <w:rsid w:val="00BA30FA"/>
    <w:rsid w:val="00BA4AC2"/>
    <w:rsid w:val="00BB3688"/>
    <w:rsid w:val="00BC5C8F"/>
    <w:rsid w:val="00BD13DE"/>
    <w:rsid w:val="00BF03B6"/>
    <w:rsid w:val="00C51730"/>
    <w:rsid w:val="00C5298C"/>
    <w:rsid w:val="00C67EB7"/>
    <w:rsid w:val="00C814BB"/>
    <w:rsid w:val="00C83FA0"/>
    <w:rsid w:val="00C94013"/>
    <w:rsid w:val="00C96278"/>
    <w:rsid w:val="00C96D93"/>
    <w:rsid w:val="00C97890"/>
    <w:rsid w:val="00CA0572"/>
    <w:rsid w:val="00CA3C98"/>
    <w:rsid w:val="00CA727B"/>
    <w:rsid w:val="00CC3949"/>
    <w:rsid w:val="00CD4894"/>
    <w:rsid w:val="00CE11C8"/>
    <w:rsid w:val="00CE2C87"/>
    <w:rsid w:val="00D04861"/>
    <w:rsid w:val="00D12F44"/>
    <w:rsid w:val="00D14EA5"/>
    <w:rsid w:val="00D225B1"/>
    <w:rsid w:val="00D40EC8"/>
    <w:rsid w:val="00D50FCC"/>
    <w:rsid w:val="00D562B0"/>
    <w:rsid w:val="00D67AFB"/>
    <w:rsid w:val="00D70533"/>
    <w:rsid w:val="00D82D5F"/>
    <w:rsid w:val="00D96B2C"/>
    <w:rsid w:val="00DA3354"/>
    <w:rsid w:val="00DB0FD7"/>
    <w:rsid w:val="00DB7666"/>
    <w:rsid w:val="00DC6969"/>
    <w:rsid w:val="00DD456E"/>
    <w:rsid w:val="00DD5581"/>
    <w:rsid w:val="00DE00F9"/>
    <w:rsid w:val="00DF3D11"/>
    <w:rsid w:val="00DF4303"/>
    <w:rsid w:val="00E0262F"/>
    <w:rsid w:val="00E126F2"/>
    <w:rsid w:val="00E1480A"/>
    <w:rsid w:val="00E24186"/>
    <w:rsid w:val="00E379EB"/>
    <w:rsid w:val="00E648F0"/>
    <w:rsid w:val="00E74127"/>
    <w:rsid w:val="00E80656"/>
    <w:rsid w:val="00E80C0B"/>
    <w:rsid w:val="00E93B8C"/>
    <w:rsid w:val="00EA361E"/>
    <w:rsid w:val="00EB6DAE"/>
    <w:rsid w:val="00ED78CC"/>
    <w:rsid w:val="00EE0D81"/>
    <w:rsid w:val="00EF6856"/>
    <w:rsid w:val="00EF6BAB"/>
    <w:rsid w:val="00F329D1"/>
    <w:rsid w:val="00F4784F"/>
    <w:rsid w:val="00F5105D"/>
    <w:rsid w:val="00F52378"/>
    <w:rsid w:val="00F55CC6"/>
    <w:rsid w:val="00F63A8D"/>
    <w:rsid w:val="00F72E07"/>
    <w:rsid w:val="00F74491"/>
    <w:rsid w:val="00FA7EAB"/>
    <w:rsid w:val="00FC5941"/>
    <w:rsid w:val="00FF1C8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CDB48A"/>
  <w15:docId w15:val="{1297F552-790C-44C0-9854-D2561F6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C3167"/>
    <w:pPr>
      <w:numPr>
        <w:numId w:val="0"/>
      </w:numPr>
      <w:ind w:left="1143" w:hanging="576"/>
    </w:pPr>
  </w:style>
  <w:style w:type="character" w:customStyle="1" w:styleId="Styl1Char">
    <w:name w:val="Styl1 Char"/>
    <w:link w:val="Styl1"/>
    <w:rsid w:val="007C3167"/>
    <w:rPr>
      <w:rFonts w:ascii="Century Gothic" w:hAnsi="Century Gothic" w:cs="Century Gothic"/>
      <w:b/>
      <w:bCs/>
      <w:kern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77894-2EDB-45A2-869C-52ED59DB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553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3810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12</cp:revision>
  <cp:lastPrinted>2016-09-16T07:06:00Z</cp:lastPrinted>
  <dcterms:created xsi:type="dcterms:W3CDTF">2016-09-16T07:10:00Z</dcterms:created>
  <dcterms:modified xsi:type="dcterms:W3CDTF">2016-09-21T09:09:00Z</dcterms:modified>
</cp:coreProperties>
</file>