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19DEF" w14:textId="77777777" w:rsidR="009279AE" w:rsidRPr="003E4D8A" w:rsidRDefault="009279AE">
      <w:pPr>
        <w:rPr>
          <w:rFonts w:ascii="Arial" w:hAnsi="Arial" w:cs="Arial"/>
          <w:b/>
          <w:lang w:val="en-US"/>
        </w:rPr>
      </w:pPr>
    </w:p>
    <w:p w14:paraId="5824DAA0" w14:textId="77777777" w:rsidR="003E4D8A" w:rsidRPr="003E4D8A" w:rsidRDefault="003E4D8A">
      <w:pPr>
        <w:rPr>
          <w:rFonts w:ascii="Arial" w:hAnsi="Arial" w:cs="Arial"/>
          <w:b/>
          <w:lang w:val="en-US"/>
        </w:rPr>
      </w:pPr>
    </w:p>
    <w:p w14:paraId="18E40F2F" w14:textId="77777777" w:rsidR="003E4D8A" w:rsidRPr="003E4D8A" w:rsidRDefault="003E4D8A">
      <w:pPr>
        <w:rPr>
          <w:rFonts w:ascii="Arial" w:hAnsi="Arial" w:cs="Arial"/>
          <w:b/>
          <w:lang w:val="en-US"/>
        </w:rPr>
      </w:pPr>
    </w:p>
    <w:p w14:paraId="00273680" w14:textId="77777777" w:rsidR="009279AE" w:rsidRPr="003E4D8A" w:rsidRDefault="00095089">
      <w:pPr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3E4D8A">
        <w:rPr>
          <w:rFonts w:ascii="Arial" w:hAnsi="Arial" w:cs="Arial"/>
          <w:b/>
          <w:sz w:val="40"/>
          <w:szCs w:val="40"/>
          <w:lang w:val="en-US"/>
        </w:rPr>
        <w:t>TECHNICAL SPECIFICATION</w:t>
      </w:r>
    </w:p>
    <w:p w14:paraId="7B62775B" w14:textId="77777777" w:rsidR="009279AE" w:rsidRPr="003E4D8A" w:rsidRDefault="009279AE">
      <w:pPr>
        <w:jc w:val="center"/>
        <w:rPr>
          <w:rFonts w:ascii="Arial" w:hAnsi="Arial" w:cs="Arial"/>
          <w:b/>
          <w:sz w:val="40"/>
          <w:szCs w:val="40"/>
          <w:lang w:val="en-US"/>
        </w:rPr>
      </w:pPr>
    </w:p>
    <w:p w14:paraId="0B89DA5F" w14:textId="77777777" w:rsidR="003E4D8A" w:rsidRPr="003E4D8A" w:rsidRDefault="003E4D8A">
      <w:pPr>
        <w:jc w:val="center"/>
        <w:rPr>
          <w:rFonts w:ascii="Arial" w:hAnsi="Arial" w:cs="Arial"/>
          <w:b/>
          <w:sz w:val="40"/>
          <w:szCs w:val="40"/>
          <w:lang w:val="en-US"/>
        </w:rPr>
      </w:pPr>
    </w:p>
    <w:p w14:paraId="428B1733" w14:textId="77777777" w:rsidR="009279AE" w:rsidRPr="003E4D8A" w:rsidRDefault="003E4D8A">
      <w:pPr>
        <w:jc w:val="center"/>
        <w:rPr>
          <w:rFonts w:ascii="Arial" w:hAnsi="Arial" w:cs="Arial"/>
          <w:b/>
          <w:sz w:val="56"/>
          <w:szCs w:val="56"/>
          <w:lang w:val="en-US"/>
        </w:rPr>
      </w:pPr>
      <w:r w:rsidRPr="003E4D8A">
        <w:rPr>
          <w:rFonts w:ascii="Arial" w:hAnsi="Arial" w:cs="Arial"/>
          <w:b/>
          <w:sz w:val="56"/>
          <w:szCs w:val="56"/>
          <w:lang w:val="en-US"/>
        </w:rPr>
        <w:t>Equipment for dynamic mechanical analysis</w:t>
      </w:r>
    </w:p>
    <w:p w14:paraId="6D05CB34" w14:textId="77777777" w:rsidR="009279AE" w:rsidRPr="003E4D8A" w:rsidRDefault="009279AE">
      <w:pPr>
        <w:jc w:val="both"/>
        <w:rPr>
          <w:rFonts w:ascii="Arial" w:hAnsi="Arial" w:cs="Arial"/>
          <w:b/>
          <w:lang w:val="en-US"/>
        </w:rPr>
      </w:pPr>
    </w:p>
    <w:p w14:paraId="12517544" w14:textId="77777777" w:rsidR="003E4D8A" w:rsidRPr="003E4D8A" w:rsidRDefault="003E4D8A">
      <w:pPr>
        <w:jc w:val="both"/>
        <w:rPr>
          <w:rFonts w:ascii="Arial" w:hAnsi="Arial" w:cs="Arial"/>
          <w:b/>
          <w:lang w:val="en-US"/>
        </w:rPr>
      </w:pPr>
      <w:r w:rsidRPr="003E4D8A">
        <w:rPr>
          <w:rFonts w:ascii="Arial" w:hAnsi="Arial" w:cs="Arial"/>
          <w:b/>
          <w:lang w:val="en-US"/>
        </w:rPr>
        <w:br w:type="page"/>
      </w:r>
    </w:p>
    <w:p w14:paraId="5A0C706B" w14:textId="77777777" w:rsidR="009279AE" w:rsidRPr="003E4D8A" w:rsidRDefault="00095089" w:rsidP="003E4D8A">
      <w:pPr>
        <w:pStyle w:val="Odstavecseseznamem"/>
        <w:numPr>
          <w:ilvl w:val="0"/>
          <w:numId w:val="1"/>
        </w:numPr>
        <w:spacing w:before="360" w:after="120"/>
        <w:ind w:left="425" w:hanging="425"/>
        <w:jc w:val="both"/>
        <w:rPr>
          <w:rFonts w:ascii="Arial" w:hAnsi="Arial" w:cs="Arial"/>
          <w:b/>
          <w:lang w:val="en-US"/>
        </w:rPr>
      </w:pPr>
      <w:r w:rsidRPr="003E4D8A">
        <w:rPr>
          <w:rFonts w:ascii="Arial" w:hAnsi="Arial" w:cs="Arial"/>
          <w:b/>
          <w:lang w:val="en-US"/>
        </w:rPr>
        <w:lastRenderedPageBreak/>
        <w:t>Delivery description</w:t>
      </w:r>
    </w:p>
    <w:p w14:paraId="2A4193FC" w14:textId="7F376F9C" w:rsidR="009279AE" w:rsidRPr="003E4D8A" w:rsidRDefault="003E4D8A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subject of the contract is d</w:t>
      </w:r>
      <w:r w:rsidR="00095089" w:rsidRPr="003E4D8A">
        <w:rPr>
          <w:rFonts w:ascii="Arial" w:hAnsi="Arial" w:cs="Arial"/>
          <w:lang w:val="en-US"/>
        </w:rPr>
        <w:t>elivery of the testing equipment for dynamic mechanical analysis</w:t>
      </w:r>
      <w:r>
        <w:rPr>
          <w:rFonts w:ascii="Arial" w:hAnsi="Arial" w:cs="Arial"/>
          <w:lang w:val="en-US"/>
        </w:rPr>
        <w:t xml:space="preserve"> (DMA</w:t>
      </w:r>
      <w:r w:rsidR="00095089" w:rsidRPr="003E4D8A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 xml:space="preserve">. The </w:t>
      </w:r>
      <w:r w:rsidR="00C013B3">
        <w:rPr>
          <w:rFonts w:ascii="Arial" w:hAnsi="Arial" w:cs="Arial"/>
          <w:lang w:val="en-US"/>
        </w:rPr>
        <w:t>delivery</w:t>
      </w:r>
      <w:r>
        <w:rPr>
          <w:rFonts w:ascii="Arial" w:hAnsi="Arial" w:cs="Arial"/>
          <w:lang w:val="en-US"/>
        </w:rPr>
        <w:t xml:space="preserve"> must</w:t>
      </w:r>
      <w:r w:rsidR="00095089" w:rsidRPr="003E4D8A">
        <w:rPr>
          <w:rFonts w:ascii="Arial" w:hAnsi="Arial" w:cs="Arial"/>
          <w:lang w:val="en-US"/>
        </w:rPr>
        <w:t xml:space="preserve"> include device for materials testing with all necessary accessories mentioned below. </w:t>
      </w:r>
      <w:r w:rsidR="00DA7985" w:rsidRPr="00DA7985">
        <w:rPr>
          <w:rFonts w:ascii="Arial" w:hAnsi="Arial" w:cs="Arial"/>
          <w:lang w:val="en-US"/>
        </w:rPr>
        <w:t>The delivery must includ</w:t>
      </w:r>
      <w:r w:rsidR="00DA7985">
        <w:rPr>
          <w:rFonts w:ascii="Arial" w:hAnsi="Arial" w:cs="Arial"/>
          <w:lang w:val="en-US"/>
        </w:rPr>
        <w:t xml:space="preserve">e </w:t>
      </w:r>
      <w:r w:rsidR="00DA7985" w:rsidRPr="00DA7985">
        <w:rPr>
          <w:rFonts w:ascii="Arial" w:hAnsi="Arial" w:cs="Arial"/>
          <w:lang w:val="en-US"/>
        </w:rPr>
        <w:t xml:space="preserve">also the suitable PC software for equipment operation and </w:t>
      </w:r>
      <w:r w:rsidR="008622F6">
        <w:rPr>
          <w:rFonts w:ascii="Arial" w:hAnsi="Arial" w:cs="Arial"/>
          <w:lang w:val="en-US"/>
        </w:rPr>
        <w:t>analysis</w:t>
      </w:r>
      <w:r w:rsidR="00DA7985" w:rsidRPr="00DA7985">
        <w:rPr>
          <w:rFonts w:ascii="Arial" w:hAnsi="Arial" w:cs="Arial"/>
          <w:lang w:val="en-US"/>
        </w:rPr>
        <w:t xml:space="preserve"> of measurement data</w:t>
      </w:r>
      <w:r w:rsidR="00095089" w:rsidRPr="00DA7985">
        <w:rPr>
          <w:rFonts w:ascii="Arial" w:hAnsi="Arial" w:cs="Arial"/>
          <w:lang w:val="en-US"/>
        </w:rPr>
        <w:t xml:space="preserve"> Necessary</w:t>
      </w:r>
      <w:r w:rsidR="00095089" w:rsidRPr="003E4D8A">
        <w:rPr>
          <w:rFonts w:ascii="Arial" w:hAnsi="Arial" w:cs="Arial"/>
          <w:lang w:val="en-US"/>
        </w:rPr>
        <w:t xml:space="preserve"> part of the delivery is transportation to place of usage and all actions needed for </w:t>
      </w:r>
      <w:r w:rsidR="00C013B3">
        <w:rPr>
          <w:rFonts w:ascii="Arial" w:hAnsi="Arial" w:cs="Arial"/>
          <w:lang w:val="en-US"/>
        </w:rPr>
        <w:t xml:space="preserve">assembly and </w:t>
      </w:r>
      <w:r w:rsidR="00095089" w:rsidRPr="003E4D8A">
        <w:rPr>
          <w:rFonts w:ascii="Arial" w:hAnsi="Arial" w:cs="Arial"/>
          <w:lang w:val="en-US"/>
        </w:rPr>
        <w:t>commissioning</w:t>
      </w:r>
      <w:r w:rsidR="00C013B3">
        <w:rPr>
          <w:rFonts w:ascii="Arial" w:hAnsi="Arial" w:cs="Arial"/>
          <w:lang w:val="en-US"/>
        </w:rPr>
        <w:t xml:space="preserve"> of the equipment</w:t>
      </w:r>
      <w:r w:rsidR="00095089" w:rsidRPr="003E4D8A">
        <w:rPr>
          <w:rFonts w:ascii="Arial" w:hAnsi="Arial" w:cs="Arial"/>
          <w:lang w:val="en-US"/>
        </w:rPr>
        <w:t>.</w:t>
      </w:r>
      <w:r w:rsidR="00C013B3">
        <w:rPr>
          <w:rFonts w:ascii="Arial" w:hAnsi="Arial" w:cs="Arial"/>
          <w:lang w:val="en-US"/>
        </w:rPr>
        <w:t xml:space="preserve"> Transport and the actions must be taken into the bid price.</w:t>
      </w:r>
    </w:p>
    <w:p w14:paraId="30D6FF97" w14:textId="6ECD0BFD" w:rsidR="009279AE" w:rsidRPr="003E4D8A" w:rsidRDefault="008622F6" w:rsidP="003E4D8A">
      <w:pPr>
        <w:pStyle w:val="Odstavecseseznamem"/>
        <w:numPr>
          <w:ilvl w:val="0"/>
          <w:numId w:val="1"/>
        </w:numPr>
        <w:spacing w:before="360" w:after="120"/>
        <w:ind w:left="425" w:hanging="425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Basic</w:t>
      </w:r>
      <w:r w:rsidRPr="003E4D8A">
        <w:rPr>
          <w:rFonts w:ascii="Arial" w:hAnsi="Arial" w:cs="Arial"/>
          <w:b/>
          <w:lang w:val="en-US"/>
        </w:rPr>
        <w:t xml:space="preserve"> </w:t>
      </w:r>
      <w:r w:rsidR="00095089" w:rsidRPr="003E4D8A">
        <w:rPr>
          <w:rFonts w:ascii="Arial" w:hAnsi="Arial" w:cs="Arial"/>
          <w:b/>
          <w:lang w:val="en-US"/>
        </w:rPr>
        <w:t xml:space="preserve">technical description of the </w:t>
      </w:r>
      <w:r>
        <w:rPr>
          <w:rFonts w:ascii="Arial" w:hAnsi="Arial" w:cs="Arial"/>
          <w:b/>
          <w:lang w:val="en-US"/>
        </w:rPr>
        <w:t>subject</w:t>
      </w:r>
      <w:r w:rsidRPr="003E4D8A">
        <w:rPr>
          <w:rFonts w:ascii="Arial" w:hAnsi="Arial" w:cs="Arial"/>
          <w:b/>
          <w:lang w:val="en-US"/>
        </w:rPr>
        <w:t xml:space="preserve"> </w:t>
      </w:r>
      <w:r w:rsidR="00095089" w:rsidRPr="003E4D8A">
        <w:rPr>
          <w:rFonts w:ascii="Arial" w:hAnsi="Arial" w:cs="Arial"/>
          <w:b/>
          <w:lang w:val="en-US"/>
        </w:rPr>
        <w:t>of delivery</w:t>
      </w:r>
    </w:p>
    <w:p w14:paraId="431823EA" w14:textId="554FBAC9" w:rsidR="009279AE" w:rsidRPr="003E4D8A" w:rsidRDefault="00095089">
      <w:pPr>
        <w:jc w:val="both"/>
        <w:rPr>
          <w:rFonts w:ascii="Arial" w:hAnsi="Arial" w:cs="Arial"/>
          <w:lang w:val="en-US"/>
        </w:rPr>
      </w:pPr>
      <w:r w:rsidRPr="003E4D8A">
        <w:rPr>
          <w:rFonts w:ascii="Arial" w:hAnsi="Arial" w:cs="Arial"/>
          <w:lang w:val="en-US"/>
        </w:rPr>
        <w:t xml:space="preserve">Dynamic mechanical analysis represents technique for determination of material visco-elastic behaviour during different temperatures and frequency (sinusoidal load is applied on the specimen), mainly of polymers, such as Young modulus, internal friction, stiffness, shear modulus and others. </w:t>
      </w:r>
      <w:r w:rsidR="008622F6" w:rsidRPr="008622F6">
        <w:rPr>
          <w:rFonts w:ascii="Arial" w:hAnsi="Arial" w:cs="Arial"/>
          <w:lang w:val="en-US"/>
        </w:rPr>
        <w:t>Dynamic mechanical analysis</w:t>
      </w:r>
      <w:r w:rsidRPr="003E4D8A">
        <w:rPr>
          <w:rFonts w:ascii="Arial" w:hAnsi="Arial" w:cs="Arial"/>
          <w:lang w:val="en-US"/>
        </w:rPr>
        <w:t xml:space="preserve"> is the technique which allows to achieve information about studied polymers and some composite materials that can not be obtained by standard mechanical testing like in case of the metals and/or ceramics.</w:t>
      </w:r>
    </w:p>
    <w:p w14:paraId="10269C9B" w14:textId="77777777" w:rsidR="009279AE" w:rsidRPr="003E4D8A" w:rsidRDefault="00095089" w:rsidP="008622F6">
      <w:pPr>
        <w:pStyle w:val="Odstavecseseznamem"/>
        <w:numPr>
          <w:ilvl w:val="1"/>
          <w:numId w:val="1"/>
        </w:numPr>
        <w:spacing w:before="240" w:after="120"/>
        <w:ind w:left="1077"/>
        <w:jc w:val="both"/>
        <w:rPr>
          <w:rFonts w:ascii="Arial" w:hAnsi="Arial" w:cs="Arial"/>
          <w:b/>
          <w:lang w:val="en-US"/>
        </w:rPr>
      </w:pPr>
      <w:r w:rsidRPr="003E4D8A">
        <w:rPr>
          <w:rFonts w:ascii="Arial" w:hAnsi="Arial" w:cs="Arial"/>
          <w:b/>
          <w:lang w:val="en-US"/>
        </w:rPr>
        <w:t>Detail description</w:t>
      </w:r>
    </w:p>
    <w:p w14:paraId="34529C8F" w14:textId="77777777" w:rsidR="009279AE" w:rsidRPr="008622F6" w:rsidRDefault="009279AE">
      <w:pPr>
        <w:pStyle w:val="Odstavecseseznamem"/>
        <w:ind w:left="1080"/>
        <w:jc w:val="both"/>
        <w:rPr>
          <w:rFonts w:ascii="Arial" w:hAnsi="Arial" w:cs="Arial"/>
          <w:b/>
          <w:sz w:val="8"/>
          <w:szCs w:val="8"/>
          <w:lang w:val="en-US"/>
        </w:rPr>
      </w:pPr>
    </w:p>
    <w:p w14:paraId="604CE0E8" w14:textId="713B570B" w:rsidR="009279AE" w:rsidRPr="003E4D8A" w:rsidRDefault="00095089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 w:rsidRPr="003E4D8A">
        <w:rPr>
          <w:rFonts w:ascii="Arial" w:hAnsi="Arial" w:cs="Arial"/>
          <w:lang w:val="en-US"/>
        </w:rPr>
        <w:t xml:space="preserve">Temperature range </w:t>
      </w:r>
      <w:r w:rsidR="008622F6">
        <w:rPr>
          <w:rFonts w:ascii="Arial" w:hAnsi="Arial" w:cs="Arial"/>
          <w:lang w:val="en-US"/>
        </w:rPr>
        <w:t xml:space="preserve">at least </w:t>
      </w:r>
      <w:r w:rsidRPr="003E4D8A">
        <w:rPr>
          <w:rFonts w:ascii="Arial" w:hAnsi="Arial" w:cs="Arial"/>
          <w:lang w:val="en-US"/>
        </w:rPr>
        <w:t>within -170 to 600 °C</w:t>
      </w:r>
    </w:p>
    <w:p w14:paraId="0AA1DC08" w14:textId="77777777" w:rsidR="009279AE" w:rsidRDefault="00095089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 w:rsidRPr="003E4D8A">
        <w:rPr>
          <w:rFonts w:ascii="Arial" w:hAnsi="Arial" w:cs="Arial"/>
          <w:lang w:val="en-US"/>
        </w:rPr>
        <w:t>Load frequency up to 100 Hz</w:t>
      </w:r>
    </w:p>
    <w:p w14:paraId="07A9DB56" w14:textId="5D919C68" w:rsidR="008622F6" w:rsidRPr="00175A07" w:rsidRDefault="00FA2151" w:rsidP="008622F6">
      <w:pPr>
        <w:pStyle w:val="Odstavecseseznamem"/>
        <w:numPr>
          <w:ilvl w:val="0"/>
          <w:numId w:val="4"/>
        </w:numPr>
        <w:spacing w:before="360" w:after="120"/>
        <w:ind w:left="1077" w:hanging="357"/>
        <w:jc w:val="both"/>
        <w:rPr>
          <w:rFonts w:ascii="Arial" w:hAnsi="Arial" w:cs="Arial"/>
          <w:lang w:val="en-US"/>
        </w:rPr>
      </w:pPr>
      <w:r w:rsidRPr="00175A07">
        <w:rPr>
          <w:rFonts w:ascii="Arial" w:hAnsi="Arial" w:cs="Arial"/>
          <w:lang w:val="en-US"/>
        </w:rPr>
        <w:t>Minimum range of forces applicable to the specimen</w:t>
      </w:r>
      <w:r w:rsidRPr="00175A07" w:rsidDel="00FA2151">
        <w:rPr>
          <w:rFonts w:ascii="Arial" w:hAnsi="Arial" w:cs="Arial"/>
          <w:lang w:val="en-US"/>
        </w:rPr>
        <w:t xml:space="preserve"> </w:t>
      </w:r>
      <w:r w:rsidR="008622F6" w:rsidRPr="00175A07">
        <w:rPr>
          <w:rFonts w:ascii="Arial" w:hAnsi="Arial" w:cs="Arial"/>
          <w:lang w:val="en-US"/>
        </w:rPr>
        <w:t xml:space="preserve"> 0,001</w:t>
      </w:r>
      <w:r w:rsidR="00332C22" w:rsidRPr="00175A07">
        <w:rPr>
          <w:rFonts w:ascii="Arial" w:hAnsi="Arial" w:cs="Arial"/>
          <w:lang w:val="en-US"/>
        </w:rPr>
        <w:t xml:space="preserve"> N</w:t>
      </w:r>
      <w:r w:rsidR="008622F6" w:rsidRPr="00175A07">
        <w:rPr>
          <w:rFonts w:ascii="Arial" w:hAnsi="Arial" w:cs="Arial"/>
          <w:lang w:val="en-US"/>
        </w:rPr>
        <w:t xml:space="preserve"> </w:t>
      </w:r>
      <w:r w:rsidR="00332C22" w:rsidRPr="00175A07">
        <w:rPr>
          <w:rFonts w:ascii="Arial" w:hAnsi="Arial" w:cs="Arial"/>
          <w:lang w:val="en-US"/>
        </w:rPr>
        <w:t>to</w:t>
      </w:r>
      <w:r w:rsidR="008622F6" w:rsidRPr="00175A07">
        <w:rPr>
          <w:rFonts w:ascii="Arial" w:hAnsi="Arial" w:cs="Arial"/>
          <w:lang w:val="en-US"/>
        </w:rPr>
        <w:t xml:space="preserve"> 10 N</w:t>
      </w:r>
    </w:p>
    <w:p w14:paraId="426BADD2" w14:textId="77777777" w:rsidR="009279AE" w:rsidRPr="003E4D8A" w:rsidRDefault="00095089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 w:rsidRPr="003E4D8A">
        <w:rPr>
          <w:rFonts w:ascii="Arial" w:hAnsi="Arial" w:cs="Arial"/>
          <w:lang w:val="en-US"/>
        </w:rPr>
        <w:t>Including basic holder for measurement</w:t>
      </w:r>
    </w:p>
    <w:p w14:paraId="37F839D1" w14:textId="77777777" w:rsidR="009279AE" w:rsidRPr="003E4D8A" w:rsidRDefault="00095089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 w:rsidRPr="003E4D8A">
        <w:rPr>
          <w:rFonts w:ascii="Arial" w:hAnsi="Arial" w:cs="Arial"/>
          <w:lang w:val="en-US"/>
        </w:rPr>
        <w:t>PC software for machine operating, data collection and analysis</w:t>
      </w:r>
    </w:p>
    <w:p w14:paraId="400DD95B" w14:textId="77777777" w:rsidR="009279AE" w:rsidRPr="003E4D8A" w:rsidRDefault="00095089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 w:rsidRPr="003E4D8A">
        <w:rPr>
          <w:rFonts w:ascii="Arial" w:hAnsi="Arial" w:cs="Arial"/>
          <w:lang w:val="en-US"/>
        </w:rPr>
        <w:t>Ability to determin CTE of samples (TMA analysis)</w:t>
      </w:r>
    </w:p>
    <w:p w14:paraId="0D81584C" w14:textId="77777777" w:rsidR="009279AE" w:rsidRPr="003E4D8A" w:rsidRDefault="00095089" w:rsidP="003E4D8A">
      <w:pPr>
        <w:pStyle w:val="Odstavecseseznamem"/>
        <w:keepNext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lang w:val="en-US"/>
        </w:rPr>
      </w:pPr>
      <w:r w:rsidRPr="003E4D8A">
        <w:rPr>
          <w:rFonts w:ascii="Arial" w:hAnsi="Arial" w:cs="Arial"/>
          <w:b/>
          <w:lang w:val="en-US"/>
        </w:rPr>
        <w:t>Example of possible solution</w:t>
      </w:r>
    </w:p>
    <w:p w14:paraId="36250C9D" w14:textId="77777777" w:rsidR="009279AE" w:rsidRPr="003E4D8A" w:rsidRDefault="00095089">
      <w:pPr>
        <w:ind w:left="360"/>
        <w:jc w:val="both"/>
        <w:rPr>
          <w:rFonts w:ascii="Arial" w:hAnsi="Arial" w:cs="Arial"/>
          <w:b/>
          <w:lang w:val="en-US"/>
        </w:rPr>
      </w:pPr>
      <w:r w:rsidRPr="003E4D8A">
        <w:rPr>
          <w:rFonts w:ascii="Arial" w:hAnsi="Arial" w:cs="Arial"/>
          <w:b/>
          <w:noProof/>
          <w:lang w:eastAsia="cs-CZ"/>
        </w:rPr>
        <w:drawing>
          <wp:inline distT="0" distB="0" distL="0" distR="0" wp14:anchorId="54631AE3" wp14:editId="790B4656">
            <wp:extent cx="4826635" cy="7211695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635" cy="721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61B4EF" w14:textId="77777777" w:rsidR="009279AE" w:rsidRPr="003E4D8A" w:rsidRDefault="009279AE">
      <w:pPr>
        <w:pStyle w:val="Odstavecseseznamem"/>
        <w:rPr>
          <w:rFonts w:ascii="Arial" w:hAnsi="Arial" w:cs="Arial"/>
          <w:b/>
          <w:lang w:val="en-US"/>
        </w:rPr>
      </w:pPr>
    </w:p>
    <w:p w14:paraId="2D66FCC2" w14:textId="77777777" w:rsidR="009279AE" w:rsidRPr="003E4D8A" w:rsidRDefault="00095089" w:rsidP="003E4D8A">
      <w:pPr>
        <w:pStyle w:val="Odstavecseseznamem"/>
        <w:keepNext/>
        <w:numPr>
          <w:ilvl w:val="0"/>
          <w:numId w:val="1"/>
        </w:numPr>
        <w:spacing w:before="360" w:after="120"/>
        <w:ind w:left="425" w:hanging="425"/>
        <w:rPr>
          <w:rFonts w:ascii="Arial" w:hAnsi="Arial" w:cs="Arial"/>
          <w:b/>
          <w:lang w:val="en-US"/>
        </w:rPr>
      </w:pPr>
      <w:r w:rsidRPr="003E4D8A">
        <w:rPr>
          <w:rFonts w:ascii="Arial" w:hAnsi="Arial" w:cs="Arial"/>
          <w:b/>
          <w:lang w:val="en-US"/>
        </w:rPr>
        <w:t>Place and scope of delivery</w:t>
      </w:r>
    </w:p>
    <w:p w14:paraId="62FB6056" w14:textId="309F4649" w:rsidR="009279AE" w:rsidRPr="003E4D8A" w:rsidRDefault="00095089">
      <w:pPr>
        <w:rPr>
          <w:rFonts w:ascii="Arial" w:hAnsi="Arial" w:cs="Arial"/>
          <w:lang w:val="en-US"/>
        </w:rPr>
      </w:pPr>
      <w:r w:rsidRPr="003E4D8A">
        <w:rPr>
          <w:rFonts w:ascii="Arial" w:hAnsi="Arial" w:cs="Arial"/>
          <w:lang w:val="en-US"/>
        </w:rPr>
        <w:t>Packaging a</w:t>
      </w:r>
      <w:r w:rsidR="00915987">
        <w:rPr>
          <w:rFonts w:ascii="Arial" w:hAnsi="Arial" w:cs="Arial"/>
          <w:lang w:val="en-US"/>
        </w:rPr>
        <w:t>n</w:t>
      </w:r>
      <w:r w:rsidRPr="003E4D8A">
        <w:rPr>
          <w:rFonts w:ascii="Arial" w:hAnsi="Arial" w:cs="Arial"/>
          <w:lang w:val="en-US"/>
        </w:rPr>
        <w:t xml:space="preserve">d </w:t>
      </w:r>
      <w:r w:rsidR="00915987">
        <w:rPr>
          <w:rFonts w:ascii="Arial" w:hAnsi="Arial" w:cs="Arial"/>
          <w:lang w:val="en-US"/>
        </w:rPr>
        <w:t>transportation</w:t>
      </w:r>
      <w:r w:rsidR="00915987" w:rsidRPr="003E4D8A">
        <w:rPr>
          <w:rFonts w:ascii="Arial" w:hAnsi="Arial" w:cs="Arial"/>
          <w:lang w:val="en-US"/>
        </w:rPr>
        <w:t xml:space="preserve"> </w:t>
      </w:r>
      <w:r w:rsidRPr="003E4D8A">
        <w:rPr>
          <w:rFonts w:ascii="Arial" w:hAnsi="Arial" w:cs="Arial"/>
          <w:lang w:val="en-US"/>
        </w:rPr>
        <w:t xml:space="preserve">costs </w:t>
      </w:r>
      <w:r w:rsidR="00915987">
        <w:rPr>
          <w:rFonts w:ascii="Arial" w:hAnsi="Arial" w:cs="Arial"/>
          <w:lang w:val="en-US"/>
        </w:rPr>
        <w:t>must</w:t>
      </w:r>
      <w:r w:rsidRPr="003E4D8A">
        <w:rPr>
          <w:rFonts w:ascii="Arial" w:hAnsi="Arial" w:cs="Arial"/>
          <w:lang w:val="en-US"/>
        </w:rPr>
        <w:t xml:space="preserve"> be a part of the </w:t>
      </w:r>
      <w:r w:rsidR="00915987">
        <w:rPr>
          <w:rFonts w:ascii="Arial" w:hAnsi="Arial" w:cs="Arial"/>
          <w:lang w:val="en-US"/>
        </w:rPr>
        <w:t>delivery and taken into the bid price</w:t>
      </w:r>
      <w:r w:rsidRPr="003E4D8A">
        <w:rPr>
          <w:rFonts w:ascii="Arial" w:hAnsi="Arial" w:cs="Arial"/>
          <w:lang w:val="en-US"/>
        </w:rPr>
        <w:t xml:space="preserve">. Installation and commissioning of the DMA equipment </w:t>
      </w:r>
      <w:r w:rsidR="00915987">
        <w:rPr>
          <w:rFonts w:ascii="Arial" w:hAnsi="Arial" w:cs="Arial"/>
          <w:lang w:val="en-US"/>
        </w:rPr>
        <w:t xml:space="preserve">at the address below </w:t>
      </w:r>
      <w:r w:rsidRPr="003E4D8A">
        <w:rPr>
          <w:rFonts w:ascii="Arial" w:hAnsi="Arial" w:cs="Arial"/>
          <w:lang w:val="en-US"/>
        </w:rPr>
        <w:t xml:space="preserve">must be a part of the </w:t>
      </w:r>
      <w:r w:rsidR="00915987">
        <w:rPr>
          <w:rFonts w:ascii="Arial" w:hAnsi="Arial" w:cs="Arial"/>
          <w:lang w:val="en-US"/>
        </w:rPr>
        <w:t>delivery and taken into the bid price</w:t>
      </w:r>
      <w:r w:rsidRPr="003E4D8A">
        <w:rPr>
          <w:rFonts w:ascii="Arial" w:hAnsi="Arial" w:cs="Arial"/>
          <w:lang w:val="en-US"/>
        </w:rPr>
        <w:t xml:space="preserve"> too.</w:t>
      </w:r>
    </w:p>
    <w:p w14:paraId="60ABB67B" w14:textId="2C0F7D4A" w:rsidR="009279AE" w:rsidRPr="003E4D8A" w:rsidRDefault="00095089" w:rsidP="003E4D8A">
      <w:pPr>
        <w:spacing w:after="120"/>
        <w:rPr>
          <w:rFonts w:ascii="Arial" w:hAnsi="Arial" w:cs="Arial"/>
          <w:lang w:val="en-US"/>
        </w:rPr>
      </w:pPr>
      <w:r w:rsidRPr="003E4D8A">
        <w:rPr>
          <w:rFonts w:ascii="Arial" w:hAnsi="Arial" w:cs="Arial"/>
          <w:lang w:val="en-US"/>
        </w:rPr>
        <w:t>Address</w:t>
      </w:r>
      <w:r w:rsidR="00915987">
        <w:rPr>
          <w:rFonts w:ascii="Arial" w:hAnsi="Arial" w:cs="Arial"/>
          <w:lang w:val="en-US"/>
        </w:rPr>
        <w:t xml:space="preserve"> of the place of performance</w:t>
      </w:r>
      <w:r w:rsidRPr="003E4D8A">
        <w:rPr>
          <w:rFonts w:ascii="Arial" w:hAnsi="Arial" w:cs="Arial"/>
          <w:lang w:val="en-US"/>
        </w:rPr>
        <w:t>:</w:t>
      </w:r>
    </w:p>
    <w:p w14:paraId="36847476" w14:textId="77777777" w:rsidR="009279AE" w:rsidRPr="003E4D8A" w:rsidRDefault="00095089" w:rsidP="003E4D8A">
      <w:pPr>
        <w:spacing w:after="120"/>
        <w:jc w:val="both"/>
        <w:rPr>
          <w:rFonts w:ascii="Arial" w:hAnsi="Arial" w:cs="Arial"/>
          <w:lang w:val="en-US"/>
        </w:rPr>
      </w:pPr>
      <w:r w:rsidRPr="003E4D8A">
        <w:rPr>
          <w:rFonts w:ascii="Arial" w:hAnsi="Arial" w:cs="Arial"/>
          <w:lang w:val="en-US"/>
        </w:rPr>
        <w:t>Continental Automotive Czech Republic, s. r. o.</w:t>
      </w:r>
    </w:p>
    <w:p w14:paraId="12749C4D" w14:textId="77777777" w:rsidR="009279AE" w:rsidRPr="003E4D8A" w:rsidRDefault="00095089" w:rsidP="003E4D8A">
      <w:pPr>
        <w:spacing w:after="120"/>
        <w:jc w:val="both"/>
        <w:rPr>
          <w:rFonts w:ascii="Arial" w:hAnsi="Arial" w:cs="Arial"/>
          <w:lang w:val="en-US"/>
        </w:rPr>
      </w:pPr>
      <w:r w:rsidRPr="003E4D8A">
        <w:rPr>
          <w:rFonts w:ascii="Arial" w:hAnsi="Arial" w:cs="Arial"/>
          <w:lang w:val="en-US"/>
        </w:rPr>
        <w:t>Na Rovince 879</w:t>
      </w:r>
    </w:p>
    <w:p w14:paraId="1E9CE9C0" w14:textId="77777777" w:rsidR="009279AE" w:rsidRPr="003E4D8A" w:rsidRDefault="00095089" w:rsidP="003E4D8A">
      <w:pPr>
        <w:spacing w:after="120"/>
        <w:jc w:val="both"/>
        <w:rPr>
          <w:rFonts w:ascii="Arial" w:hAnsi="Arial" w:cs="Arial"/>
          <w:lang w:val="en-US"/>
        </w:rPr>
      </w:pPr>
      <w:r w:rsidRPr="003E4D8A">
        <w:rPr>
          <w:rFonts w:ascii="Arial" w:hAnsi="Arial" w:cs="Arial"/>
          <w:lang w:val="en-US"/>
        </w:rPr>
        <w:t>720 00 Ostrava – Hrabová</w:t>
      </w:r>
    </w:p>
    <w:p w14:paraId="04C031F0" w14:textId="77777777" w:rsidR="009279AE" w:rsidRPr="003E4D8A" w:rsidRDefault="00095089" w:rsidP="003E4D8A">
      <w:pPr>
        <w:pStyle w:val="Odstavecseseznamem"/>
        <w:keepNext/>
        <w:numPr>
          <w:ilvl w:val="0"/>
          <w:numId w:val="1"/>
        </w:numPr>
        <w:spacing w:before="360" w:after="120"/>
        <w:ind w:left="425" w:hanging="425"/>
        <w:jc w:val="both"/>
        <w:rPr>
          <w:rFonts w:ascii="Arial" w:hAnsi="Arial" w:cs="Arial"/>
          <w:b/>
          <w:lang w:val="en-US"/>
        </w:rPr>
      </w:pPr>
      <w:r w:rsidRPr="003E4D8A">
        <w:rPr>
          <w:rFonts w:ascii="Arial" w:hAnsi="Arial" w:cs="Arial"/>
          <w:b/>
          <w:lang w:val="en-US"/>
        </w:rPr>
        <w:t>Requested documents</w:t>
      </w:r>
    </w:p>
    <w:p w14:paraId="5C4866BA" w14:textId="77777777" w:rsidR="009279AE" w:rsidRPr="00915987" w:rsidRDefault="009279AE">
      <w:pPr>
        <w:pStyle w:val="Odstavecseseznamem"/>
        <w:rPr>
          <w:rFonts w:ascii="Arial" w:hAnsi="Arial" w:cs="Arial"/>
          <w:b/>
          <w:sz w:val="8"/>
          <w:szCs w:val="8"/>
          <w:lang w:val="en-US"/>
        </w:rPr>
      </w:pPr>
      <w:bookmarkStart w:id="0" w:name="_GoBack"/>
      <w:bookmarkEnd w:id="0"/>
    </w:p>
    <w:p w14:paraId="6099E3A8" w14:textId="77777777" w:rsidR="009279AE" w:rsidRPr="003E4D8A" w:rsidRDefault="00095089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  <w:lang w:val="en-US"/>
        </w:rPr>
      </w:pPr>
      <w:r w:rsidRPr="003E4D8A">
        <w:rPr>
          <w:rFonts w:ascii="Arial" w:hAnsi="Arial" w:cs="Arial"/>
          <w:lang w:val="en-US"/>
        </w:rPr>
        <w:t>CE declaration of conformity</w:t>
      </w:r>
    </w:p>
    <w:p w14:paraId="0ABF8810" w14:textId="77777777" w:rsidR="009279AE" w:rsidRPr="003E4D8A" w:rsidRDefault="00095089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  <w:lang w:val="en-US"/>
        </w:rPr>
      </w:pPr>
      <w:r w:rsidRPr="003E4D8A">
        <w:rPr>
          <w:rFonts w:ascii="Arial" w:hAnsi="Arial" w:cs="Arial"/>
          <w:lang w:val="en-US"/>
        </w:rPr>
        <w:t>User´s manual</w:t>
      </w:r>
    </w:p>
    <w:p w14:paraId="70D39418" w14:textId="77777777" w:rsidR="009279AE" w:rsidRPr="003E4D8A" w:rsidRDefault="00095089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  <w:b/>
          <w:lang w:val="en-US"/>
        </w:rPr>
      </w:pPr>
      <w:r w:rsidRPr="003E4D8A">
        <w:rPr>
          <w:rFonts w:ascii="Arial" w:hAnsi="Arial" w:cs="Arial"/>
          <w:lang w:val="en-US"/>
        </w:rPr>
        <w:t>List of spare parts</w:t>
      </w:r>
    </w:p>
    <w:p w14:paraId="7FE54517" w14:textId="77777777" w:rsidR="009279AE" w:rsidRPr="003E4D8A" w:rsidRDefault="00095089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  <w:b/>
          <w:lang w:val="en-US"/>
        </w:rPr>
      </w:pPr>
      <w:r w:rsidRPr="003E4D8A">
        <w:rPr>
          <w:rFonts w:ascii="Arial" w:hAnsi="Arial" w:cs="Arial"/>
          <w:lang w:val="en-US"/>
        </w:rPr>
        <w:t>Hazard notes for application</w:t>
      </w:r>
    </w:p>
    <w:p w14:paraId="1998849C" w14:textId="77777777" w:rsidR="009279AE" w:rsidRPr="003E4D8A" w:rsidRDefault="009279AE">
      <w:pPr>
        <w:pStyle w:val="Odstavecseseznamem"/>
        <w:rPr>
          <w:rFonts w:ascii="Arial" w:hAnsi="Arial" w:cs="Arial"/>
          <w:b/>
          <w:lang w:val="en-US"/>
        </w:rPr>
      </w:pPr>
    </w:p>
    <w:p w14:paraId="0B2414E4" w14:textId="77777777" w:rsidR="009279AE" w:rsidRPr="003E4D8A" w:rsidRDefault="00095089" w:rsidP="003E4D8A">
      <w:pPr>
        <w:pStyle w:val="Odstavecseseznamem"/>
        <w:numPr>
          <w:ilvl w:val="0"/>
          <w:numId w:val="1"/>
        </w:numPr>
        <w:spacing w:before="360" w:after="120"/>
        <w:ind w:left="425" w:hanging="425"/>
        <w:rPr>
          <w:rFonts w:ascii="Arial" w:hAnsi="Arial" w:cs="Arial"/>
          <w:b/>
          <w:lang w:val="en-US"/>
        </w:rPr>
      </w:pPr>
      <w:r w:rsidRPr="003E4D8A">
        <w:rPr>
          <w:rFonts w:ascii="Arial" w:hAnsi="Arial" w:cs="Arial"/>
          <w:b/>
          <w:lang w:val="en-US"/>
        </w:rPr>
        <w:t>Operators and maintanance training</w:t>
      </w:r>
    </w:p>
    <w:p w14:paraId="0242157F" w14:textId="182D9B23" w:rsidR="009279AE" w:rsidRPr="003E4D8A" w:rsidRDefault="00095089">
      <w:pPr>
        <w:jc w:val="both"/>
        <w:rPr>
          <w:rFonts w:ascii="Arial" w:hAnsi="Arial" w:cs="Arial"/>
          <w:lang w:val="en-US"/>
        </w:rPr>
      </w:pPr>
      <w:r w:rsidRPr="003E4D8A">
        <w:rPr>
          <w:rFonts w:ascii="Arial" w:hAnsi="Arial" w:cs="Arial"/>
          <w:lang w:val="en-US"/>
        </w:rPr>
        <w:t xml:space="preserve">Operations and maintenance training must be an integral part of </w:t>
      </w:r>
      <w:r w:rsidR="00915987">
        <w:rPr>
          <w:rFonts w:ascii="Arial" w:hAnsi="Arial" w:cs="Arial"/>
          <w:lang w:val="en-US"/>
        </w:rPr>
        <w:t xml:space="preserve">delivery and taken into the bid price. </w:t>
      </w:r>
      <w:r>
        <w:rPr>
          <w:rFonts w:ascii="Arial" w:hAnsi="Arial" w:cs="Arial"/>
          <w:lang w:val="en-US"/>
        </w:rPr>
        <w:t xml:space="preserve">Range of the training must be </w:t>
      </w:r>
      <w:r w:rsidR="00915987" w:rsidRPr="003E4D8A">
        <w:rPr>
          <w:rFonts w:ascii="Arial" w:hAnsi="Arial" w:cs="Arial"/>
          <w:lang w:val="en-US"/>
        </w:rPr>
        <w:t>at least sixteen hours, two working days</w:t>
      </w:r>
      <w:r>
        <w:rPr>
          <w:rFonts w:ascii="Arial" w:hAnsi="Arial" w:cs="Arial"/>
          <w:lang w:val="en-US"/>
        </w:rPr>
        <w:t xml:space="preserve">. Offered range of the training </w:t>
      </w:r>
      <w:r w:rsidRPr="00095089">
        <w:rPr>
          <w:rFonts w:ascii="Arial" w:hAnsi="Arial" w:cs="Arial"/>
          <w:lang w:val="en-US"/>
        </w:rPr>
        <w:t xml:space="preserve">will be </w:t>
      </w:r>
      <w:r>
        <w:rPr>
          <w:rFonts w:ascii="Arial" w:hAnsi="Arial" w:cs="Arial"/>
          <w:lang w:val="en-US"/>
        </w:rPr>
        <w:t>stated</w:t>
      </w:r>
      <w:r w:rsidRPr="00095089">
        <w:rPr>
          <w:rFonts w:ascii="Arial" w:hAnsi="Arial" w:cs="Arial"/>
          <w:lang w:val="en-US"/>
        </w:rPr>
        <w:t xml:space="preserve"> in the bidder´s offer</w:t>
      </w:r>
      <w:r>
        <w:rPr>
          <w:rFonts w:ascii="Arial" w:hAnsi="Arial" w:cs="Arial"/>
          <w:lang w:val="en-US"/>
        </w:rPr>
        <w:t>.</w:t>
      </w:r>
    </w:p>
    <w:sectPr w:rsidR="009279AE" w:rsidRPr="003E4D8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D01AE" w14:textId="77777777" w:rsidR="003E4D8A" w:rsidRDefault="003E4D8A" w:rsidP="003E4D8A">
      <w:pPr>
        <w:spacing w:after="0" w:line="240" w:lineRule="auto"/>
      </w:pPr>
      <w:r>
        <w:separator/>
      </w:r>
    </w:p>
  </w:endnote>
  <w:endnote w:type="continuationSeparator" w:id="0">
    <w:p w14:paraId="3CA3ECDC" w14:textId="77777777" w:rsidR="003E4D8A" w:rsidRDefault="003E4D8A" w:rsidP="003E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9F207" w14:textId="77777777" w:rsidR="003E4D8A" w:rsidRDefault="003E4D8A" w:rsidP="003E4D8A">
      <w:pPr>
        <w:spacing w:after="0" w:line="240" w:lineRule="auto"/>
      </w:pPr>
      <w:r>
        <w:separator/>
      </w:r>
    </w:p>
  </w:footnote>
  <w:footnote w:type="continuationSeparator" w:id="0">
    <w:p w14:paraId="04FE22DE" w14:textId="77777777" w:rsidR="003E4D8A" w:rsidRDefault="003E4D8A" w:rsidP="003E4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62BB6" w14:textId="77777777" w:rsidR="003E4D8A" w:rsidRPr="00F36318" w:rsidRDefault="003E4D8A" w:rsidP="003E4D8A">
    <w:pPr>
      <w:pStyle w:val="Zhlav"/>
      <w:spacing w:after="120"/>
      <w:rPr>
        <w:b/>
      </w:rPr>
    </w:pPr>
    <w:r>
      <w:rPr>
        <w:b/>
      </w:rPr>
      <w:t>Appendix no</w:t>
    </w:r>
    <w:r w:rsidRPr="00F36318">
      <w:rPr>
        <w:b/>
      </w:rPr>
      <w:t>. 4</w:t>
    </w: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02"/>
      <w:gridCol w:w="2960"/>
    </w:tblGrid>
    <w:tr w:rsidR="003E4D8A" w14:paraId="2F3DFF72" w14:textId="77777777" w:rsidTr="001319D9">
      <w:trPr>
        <w:cantSplit/>
        <w:trHeight w:val="970"/>
      </w:trPr>
      <w:tc>
        <w:tcPr>
          <w:tcW w:w="3678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5657EE03" w14:textId="77777777" w:rsidR="003E4D8A" w:rsidRDefault="003E4D8A" w:rsidP="003E4D8A">
          <w:pPr>
            <w:pStyle w:val="Zhlav"/>
            <w:tabs>
              <w:tab w:val="clear" w:pos="4536"/>
              <w:tab w:val="clear" w:pos="9072"/>
            </w:tabs>
            <w:jc w:val="center"/>
          </w:pPr>
          <w:r>
            <w:rPr>
              <w:rFonts w:cs="Arial"/>
              <w:b/>
              <w:caps/>
              <w:sz w:val="36"/>
              <w:szCs w:val="36"/>
            </w:rPr>
            <w:t>TENDER DOCUMENTATION</w:t>
          </w:r>
        </w:p>
      </w:tc>
      <w:tc>
        <w:tcPr>
          <w:tcW w:w="1322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652BD8A" w14:textId="77777777" w:rsidR="003E4D8A" w:rsidRDefault="003E4D8A" w:rsidP="003E4D8A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0E226215" wp14:editId="58197D5E">
                <wp:extent cx="1762125" cy="476250"/>
                <wp:effectExtent l="19050" t="0" r="9525" b="0"/>
                <wp:docPr id="1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7D879C" w14:textId="77777777" w:rsidR="003E4D8A" w:rsidRDefault="003E4D8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76C"/>
    <w:multiLevelType w:val="multilevel"/>
    <w:tmpl w:val="37342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6545832"/>
    <w:multiLevelType w:val="hybridMultilevel"/>
    <w:tmpl w:val="E9FC1DB8"/>
    <w:lvl w:ilvl="0" w:tplc="6CC670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16C4E"/>
    <w:multiLevelType w:val="hybridMultilevel"/>
    <w:tmpl w:val="63D2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6524"/>
    <w:multiLevelType w:val="hybridMultilevel"/>
    <w:tmpl w:val="8104E8C8"/>
    <w:lvl w:ilvl="0" w:tplc="CA98B7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E375C8"/>
    <w:multiLevelType w:val="hybridMultilevel"/>
    <w:tmpl w:val="79BCA6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C50D11"/>
    <w:multiLevelType w:val="hybridMultilevel"/>
    <w:tmpl w:val="0194C1F4"/>
    <w:lvl w:ilvl="0" w:tplc="5DACFE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603545"/>
    <w:multiLevelType w:val="hybridMultilevel"/>
    <w:tmpl w:val="CC94C692"/>
    <w:lvl w:ilvl="0" w:tplc="4FF028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AE"/>
    <w:rsid w:val="00095089"/>
    <w:rsid w:val="00175A07"/>
    <w:rsid w:val="00332C22"/>
    <w:rsid w:val="003E4D8A"/>
    <w:rsid w:val="008622F6"/>
    <w:rsid w:val="00915987"/>
    <w:rsid w:val="009279AE"/>
    <w:rsid w:val="00A92F62"/>
    <w:rsid w:val="00C013B3"/>
    <w:rsid w:val="00DA7985"/>
    <w:rsid w:val="00FA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E8718"/>
  <w15:docId w15:val="{D3304204-3F1C-42E4-A1AE-889B2A91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E4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4D8A"/>
  </w:style>
  <w:style w:type="paragraph" w:styleId="Zpat">
    <w:name w:val="footer"/>
    <w:basedOn w:val="Normln"/>
    <w:link w:val="ZpatChar"/>
    <w:uiPriority w:val="99"/>
    <w:unhideWhenUsed/>
    <w:rsid w:val="003E4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4D8A"/>
  </w:style>
  <w:style w:type="character" w:styleId="Odkaznakoment">
    <w:name w:val="annotation reference"/>
    <w:basedOn w:val="Standardnpsmoodstavce"/>
    <w:uiPriority w:val="99"/>
    <w:semiHidden/>
    <w:unhideWhenUsed/>
    <w:rsid w:val="00DA79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798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79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79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79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336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Continental AG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uidr9548</dc:creator>
  <cp:lastModifiedBy>Švábová Hana</cp:lastModifiedBy>
  <cp:revision>3</cp:revision>
  <dcterms:created xsi:type="dcterms:W3CDTF">2017-03-31T13:31:00Z</dcterms:created>
  <dcterms:modified xsi:type="dcterms:W3CDTF">2017-03-31T13:36:00Z</dcterms:modified>
</cp:coreProperties>
</file>