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A1611" w14:textId="77777777" w:rsidR="00BB7981" w:rsidRDefault="00BB7981">
      <w:pPr>
        <w:rPr>
          <w:b/>
        </w:rPr>
      </w:pPr>
    </w:p>
    <w:p w14:paraId="4F4D5C72" w14:textId="77777777" w:rsidR="009A45B5" w:rsidRDefault="009A45B5">
      <w:pPr>
        <w:rPr>
          <w:b/>
        </w:rPr>
      </w:pPr>
    </w:p>
    <w:p w14:paraId="65E06C2F" w14:textId="77777777" w:rsidR="009A45B5" w:rsidRDefault="009A45B5">
      <w:pPr>
        <w:rPr>
          <w:rFonts w:ascii="Arial" w:hAnsi="Arial" w:cs="Arial"/>
          <w:b/>
        </w:rPr>
      </w:pPr>
    </w:p>
    <w:p w14:paraId="6DA3410E" w14:textId="77777777" w:rsidR="00BB7981" w:rsidRDefault="001445FB">
      <w:pPr>
        <w:jc w:val="center"/>
        <w:rPr>
          <w:rFonts w:ascii="Arial" w:hAnsi="Arial" w:cs="Arial"/>
          <w:b/>
          <w:sz w:val="40"/>
          <w:szCs w:val="40"/>
        </w:rPr>
      </w:pPr>
      <w:r>
        <w:rPr>
          <w:rFonts w:ascii="Arial" w:hAnsi="Arial" w:cs="Arial"/>
          <w:b/>
          <w:sz w:val="40"/>
          <w:szCs w:val="40"/>
        </w:rPr>
        <w:t>TECHNICAL SPECIFICATION</w:t>
      </w:r>
    </w:p>
    <w:p w14:paraId="2B03AB33" w14:textId="77777777" w:rsidR="00BB7981" w:rsidRDefault="00BB7981">
      <w:pPr>
        <w:jc w:val="center"/>
        <w:rPr>
          <w:rFonts w:ascii="Arial" w:hAnsi="Arial" w:cs="Arial"/>
          <w:b/>
          <w:sz w:val="40"/>
          <w:szCs w:val="40"/>
        </w:rPr>
      </w:pPr>
    </w:p>
    <w:p w14:paraId="46CB99C5" w14:textId="77777777" w:rsidR="009A45B5" w:rsidRDefault="009A45B5">
      <w:pPr>
        <w:jc w:val="center"/>
        <w:rPr>
          <w:rFonts w:ascii="Arial" w:hAnsi="Arial" w:cs="Arial"/>
          <w:b/>
          <w:sz w:val="40"/>
          <w:szCs w:val="40"/>
        </w:rPr>
      </w:pPr>
    </w:p>
    <w:p w14:paraId="0BD6F708" w14:textId="77777777" w:rsidR="00BB7981" w:rsidRDefault="009A45B5">
      <w:pPr>
        <w:jc w:val="center"/>
        <w:rPr>
          <w:rFonts w:ascii="Arial" w:hAnsi="Arial" w:cs="Arial"/>
          <w:b/>
          <w:sz w:val="56"/>
          <w:szCs w:val="56"/>
        </w:rPr>
      </w:pPr>
      <w:r>
        <w:rPr>
          <w:rFonts w:ascii="Arial" w:hAnsi="Arial" w:cs="Arial"/>
          <w:b/>
          <w:sz w:val="56"/>
          <w:szCs w:val="56"/>
        </w:rPr>
        <w:t>T</w:t>
      </w:r>
      <w:r w:rsidRPr="009A45B5">
        <w:rPr>
          <w:rFonts w:ascii="Arial" w:hAnsi="Arial" w:cs="Arial"/>
          <w:b/>
          <w:sz w:val="56"/>
          <w:szCs w:val="56"/>
        </w:rPr>
        <w:t>esting equipment for di</w:t>
      </w:r>
      <w:r>
        <w:rPr>
          <w:rFonts w:ascii="Arial" w:hAnsi="Arial" w:cs="Arial"/>
          <w:b/>
          <w:sz w:val="56"/>
          <w:szCs w:val="56"/>
        </w:rPr>
        <w:t>fferential scanning calorimetry</w:t>
      </w:r>
    </w:p>
    <w:p w14:paraId="50CFA6ED" w14:textId="77777777" w:rsidR="00BB7981" w:rsidRDefault="00BB7981">
      <w:pPr>
        <w:jc w:val="center"/>
        <w:rPr>
          <w:rFonts w:ascii="Arial" w:hAnsi="Arial" w:cs="Arial"/>
          <w:b/>
          <w:sz w:val="56"/>
          <w:szCs w:val="56"/>
        </w:rPr>
      </w:pPr>
    </w:p>
    <w:p w14:paraId="4943B4B4" w14:textId="77777777" w:rsidR="009A45B5" w:rsidRDefault="009A45B5">
      <w:pPr>
        <w:rPr>
          <w:rFonts w:ascii="Arial" w:hAnsi="Arial" w:cs="Arial"/>
          <w:b/>
          <w:sz w:val="56"/>
          <w:szCs w:val="56"/>
        </w:rPr>
      </w:pPr>
      <w:r>
        <w:rPr>
          <w:rFonts w:ascii="Arial" w:hAnsi="Arial" w:cs="Arial"/>
          <w:b/>
          <w:sz w:val="56"/>
          <w:szCs w:val="56"/>
        </w:rPr>
        <w:br w:type="page"/>
      </w:r>
    </w:p>
    <w:p w14:paraId="457838BA" w14:textId="77777777" w:rsidR="00BB7981" w:rsidRPr="00C40566" w:rsidRDefault="001445FB" w:rsidP="009A45B5">
      <w:pPr>
        <w:pStyle w:val="Odstavecseseznamem"/>
        <w:numPr>
          <w:ilvl w:val="0"/>
          <w:numId w:val="1"/>
        </w:numPr>
        <w:ind w:left="426" w:hanging="426"/>
        <w:jc w:val="both"/>
        <w:rPr>
          <w:rFonts w:ascii="Arial" w:hAnsi="Arial" w:cs="Arial"/>
          <w:b/>
          <w:lang w:val="en-GB"/>
        </w:rPr>
      </w:pPr>
      <w:r w:rsidRPr="00C40566">
        <w:rPr>
          <w:rFonts w:ascii="Arial" w:hAnsi="Arial" w:cs="Arial"/>
          <w:b/>
          <w:lang w:val="en-GB"/>
        </w:rPr>
        <w:lastRenderedPageBreak/>
        <w:t>Delivery description</w:t>
      </w:r>
    </w:p>
    <w:p w14:paraId="30252185" w14:textId="57273C26" w:rsidR="00BB7981" w:rsidRPr="00C40566" w:rsidRDefault="009A45B5">
      <w:pPr>
        <w:jc w:val="both"/>
        <w:rPr>
          <w:rFonts w:ascii="Arial" w:hAnsi="Arial" w:cs="Arial"/>
          <w:lang w:val="en-GB"/>
        </w:rPr>
      </w:pPr>
      <w:r w:rsidRPr="00C40566">
        <w:rPr>
          <w:rFonts w:ascii="Arial" w:hAnsi="Arial" w:cs="Arial"/>
          <w:lang w:val="en-GB"/>
        </w:rPr>
        <w:t>The subject of the contract is d</w:t>
      </w:r>
      <w:r w:rsidR="001445FB" w:rsidRPr="00C40566">
        <w:rPr>
          <w:rFonts w:ascii="Arial" w:hAnsi="Arial" w:cs="Arial"/>
          <w:lang w:val="en-GB"/>
        </w:rPr>
        <w:t>elivery of the testing equipment for DSC (differential scanning calorimetry)</w:t>
      </w:r>
      <w:r w:rsidRPr="00C40566">
        <w:rPr>
          <w:rFonts w:ascii="Arial" w:hAnsi="Arial" w:cs="Arial"/>
          <w:lang w:val="en-GB"/>
        </w:rPr>
        <w:t xml:space="preserve">. The delivery must </w:t>
      </w:r>
      <w:r w:rsidR="001445FB" w:rsidRPr="00C40566">
        <w:rPr>
          <w:rFonts w:ascii="Arial" w:hAnsi="Arial" w:cs="Arial"/>
          <w:lang w:val="en-GB"/>
        </w:rPr>
        <w:t xml:space="preserve">include device for materials testing with all necessary accessories mentioned below. The delivery must include also the suitable PC software for equipment operation and analysis of measurement data. Necessary part of the delivery is </w:t>
      </w:r>
      <w:r w:rsidRPr="00C40566">
        <w:rPr>
          <w:rFonts w:ascii="Arial" w:hAnsi="Arial" w:cs="Arial"/>
          <w:lang w:val="en-GB"/>
        </w:rPr>
        <w:t xml:space="preserve">(and into the bid price must </w:t>
      </w:r>
      <w:r w:rsidR="00D02871" w:rsidRPr="00C40566">
        <w:rPr>
          <w:rFonts w:ascii="Arial" w:hAnsi="Arial" w:cs="Arial"/>
          <w:lang w:val="en-GB"/>
        </w:rPr>
        <w:t>be included</w:t>
      </w:r>
      <w:r w:rsidRPr="00C40566">
        <w:rPr>
          <w:rFonts w:ascii="Arial" w:hAnsi="Arial" w:cs="Arial"/>
          <w:lang w:val="en-GB"/>
        </w:rPr>
        <w:t xml:space="preserve">) </w:t>
      </w:r>
      <w:r w:rsidR="001445FB" w:rsidRPr="00C40566">
        <w:rPr>
          <w:rFonts w:ascii="Arial" w:hAnsi="Arial" w:cs="Arial"/>
          <w:lang w:val="en-GB"/>
        </w:rPr>
        <w:t xml:space="preserve">transportation to place of usage and all actions needed for </w:t>
      </w:r>
      <w:r w:rsidRPr="00C40566">
        <w:rPr>
          <w:rFonts w:ascii="Arial" w:hAnsi="Arial" w:cs="Arial"/>
          <w:lang w:val="en-GB"/>
        </w:rPr>
        <w:t xml:space="preserve">assembly and </w:t>
      </w:r>
      <w:r w:rsidR="001445FB" w:rsidRPr="00C40566">
        <w:rPr>
          <w:rFonts w:ascii="Arial" w:hAnsi="Arial" w:cs="Arial"/>
          <w:lang w:val="en-GB"/>
        </w:rPr>
        <w:t>commissioning</w:t>
      </w:r>
      <w:r w:rsidRPr="00C40566">
        <w:rPr>
          <w:rFonts w:ascii="Arial" w:hAnsi="Arial" w:cs="Arial"/>
          <w:lang w:val="en-GB"/>
        </w:rPr>
        <w:t xml:space="preserve"> of the equipment.</w:t>
      </w:r>
    </w:p>
    <w:p w14:paraId="1B83BF04" w14:textId="77777777" w:rsidR="00BB7981" w:rsidRPr="00C40566" w:rsidRDefault="001445FB" w:rsidP="009A45B5">
      <w:pPr>
        <w:pStyle w:val="Odstavecseseznamem"/>
        <w:numPr>
          <w:ilvl w:val="0"/>
          <w:numId w:val="1"/>
        </w:numPr>
        <w:ind w:left="426" w:hanging="426"/>
        <w:jc w:val="both"/>
        <w:rPr>
          <w:rFonts w:ascii="Arial" w:hAnsi="Arial" w:cs="Arial"/>
          <w:b/>
          <w:lang w:val="en-GB"/>
        </w:rPr>
      </w:pPr>
      <w:r w:rsidRPr="00C40566">
        <w:rPr>
          <w:rFonts w:ascii="Arial" w:hAnsi="Arial" w:cs="Arial"/>
          <w:b/>
          <w:lang w:val="en-GB"/>
        </w:rPr>
        <w:t>Elementary technical description of the object of delivery</w:t>
      </w:r>
    </w:p>
    <w:p w14:paraId="3EC350B2" w14:textId="77777777" w:rsidR="00411865" w:rsidRPr="007462F7" w:rsidRDefault="001445FB">
      <w:pPr>
        <w:jc w:val="both"/>
        <w:rPr>
          <w:rFonts w:ascii="Arial" w:hAnsi="Arial" w:cs="Arial"/>
          <w:lang w:val="en-GB"/>
        </w:rPr>
      </w:pPr>
      <w:r w:rsidRPr="00C40566">
        <w:rPr>
          <w:rFonts w:ascii="Arial" w:hAnsi="Arial" w:cs="Arial"/>
          <w:lang w:val="en-GB"/>
        </w:rPr>
        <w:t xml:space="preserve">Differential scanning calorimetry represents experimental technique for determination of amorphous materials‘ and/or partly amorphous materials‘ (polymers, glasses, composite materials) and metals‘ (with low melting points) physical properties, such as melting and crystallization temperature, glass transition, specific heat capacity, phase diagrams oxidative stability and many others. DSC is the technique which allows to achieve informations about studied materials, that could be hardly achieved by any other technique in so complex form. </w:t>
      </w:r>
      <w:r w:rsidRPr="00C40566">
        <w:rPr>
          <w:rFonts w:ascii="Arial" w:hAnsi="Arial" w:cs="Arial"/>
          <w:color w:val="000000"/>
          <w:lang w:val="en-GB"/>
        </w:rPr>
        <w:t xml:space="preserve">DSC is a technique in </w:t>
      </w:r>
      <w:r w:rsidRPr="00C40566">
        <w:rPr>
          <w:rFonts w:ascii="Arial" w:hAnsi="Arial" w:cs="Arial"/>
          <w:color w:val="000000"/>
          <w:lang w:val="en-GB"/>
        </w:rPr>
        <w:t xml:space="preserve">which the difference between the heat flow rate into a sample pan and that into a reference pan is determined as a function of temperature and/or time. During such measurement, the sample and reference are subjected to the same controlled temperature </w:t>
      </w:r>
      <w:r w:rsidRPr="007462F7">
        <w:rPr>
          <w:rFonts w:ascii="Arial" w:hAnsi="Arial" w:cs="Arial"/>
          <w:lang w:val="en-GB"/>
        </w:rPr>
        <w:t>program and a specified atmosphere.</w:t>
      </w:r>
      <w:r w:rsidR="00CC1713" w:rsidRPr="007462F7">
        <w:rPr>
          <w:rFonts w:ascii="Arial" w:hAnsi="Arial" w:cs="Arial"/>
          <w:lang w:val="en-GB"/>
        </w:rPr>
        <w:t xml:space="preserve"> </w:t>
      </w:r>
    </w:p>
    <w:p w14:paraId="2843ABCF" w14:textId="749F53CC" w:rsidR="00BB7981" w:rsidRPr="007462F7" w:rsidRDefault="00411865">
      <w:pPr>
        <w:jc w:val="both"/>
        <w:rPr>
          <w:rFonts w:ascii="Arial" w:hAnsi="Arial" w:cs="Arial"/>
          <w:lang w:val="en-GB"/>
        </w:rPr>
      </w:pPr>
      <w:r w:rsidRPr="007462F7">
        <w:rPr>
          <w:rFonts w:ascii="Arial" w:hAnsi="Arial" w:cs="Arial"/>
          <w:lang w:val="en-GB"/>
        </w:rPr>
        <w:t xml:space="preserve">The contracting authority requires </w:t>
      </w:r>
      <w:r w:rsidR="009F161C" w:rsidRPr="007462F7">
        <w:rPr>
          <w:rFonts w:ascii="Arial" w:hAnsi="Arial" w:cs="Arial"/>
          <w:lang w:val="en-GB"/>
        </w:rPr>
        <w:t xml:space="preserve">a </w:t>
      </w:r>
      <w:r w:rsidRPr="007462F7">
        <w:rPr>
          <w:rFonts w:ascii="Arial" w:hAnsi="Arial" w:cs="Arial"/>
          <w:lang w:val="en-GB"/>
        </w:rPr>
        <w:t xml:space="preserve">possibility to extend the equipment </w:t>
      </w:r>
      <w:r w:rsidR="009F161C" w:rsidRPr="007462F7">
        <w:rPr>
          <w:rFonts w:ascii="Arial" w:hAnsi="Arial" w:cs="Arial"/>
          <w:lang w:val="en-GB"/>
        </w:rPr>
        <w:t>about measurement temperature range by usage of liquid nitrogen in the future. The e</w:t>
      </w:r>
      <w:r w:rsidR="00CC1713" w:rsidRPr="007462F7">
        <w:rPr>
          <w:rFonts w:ascii="Arial" w:hAnsi="Arial" w:cs="Arial"/>
          <w:lang w:val="en-GB"/>
        </w:rPr>
        <w:t>quipment necessary for achi</w:t>
      </w:r>
      <w:r w:rsidR="00BB5F2E" w:rsidRPr="007462F7">
        <w:rPr>
          <w:rFonts w:ascii="Arial" w:hAnsi="Arial" w:cs="Arial"/>
          <w:lang w:val="en-GB"/>
        </w:rPr>
        <w:t>e</w:t>
      </w:r>
      <w:r w:rsidR="00CC1713" w:rsidRPr="007462F7">
        <w:rPr>
          <w:rFonts w:ascii="Arial" w:hAnsi="Arial" w:cs="Arial"/>
          <w:lang w:val="en-GB"/>
        </w:rPr>
        <w:t>ving of very lo</w:t>
      </w:r>
      <w:r w:rsidR="00FB09A7" w:rsidRPr="007462F7">
        <w:rPr>
          <w:rFonts w:ascii="Arial" w:hAnsi="Arial" w:cs="Arial"/>
          <w:lang w:val="en-GB"/>
        </w:rPr>
        <w:t>w</w:t>
      </w:r>
      <w:r w:rsidR="00CC1713" w:rsidRPr="007462F7">
        <w:rPr>
          <w:rFonts w:ascii="Arial" w:hAnsi="Arial" w:cs="Arial"/>
          <w:lang w:val="en-GB"/>
        </w:rPr>
        <w:t xml:space="preserve"> temperatures by using of liquid nitrogen </w:t>
      </w:r>
      <w:r w:rsidR="00D654EE" w:rsidRPr="007462F7">
        <w:rPr>
          <w:rFonts w:ascii="Arial" w:hAnsi="Arial" w:cs="Arial"/>
          <w:lang w:val="en-GB"/>
        </w:rPr>
        <w:t>must</w:t>
      </w:r>
      <w:r w:rsidR="00CC1713" w:rsidRPr="007462F7">
        <w:rPr>
          <w:rFonts w:ascii="Arial" w:hAnsi="Arial" w:cs="Arial"/>
          <w:lang w:val="en-GB"/>
        </w:rPr>
        <w:t xml:space="preserve"> not be a part of </w:t>
      </w:r>
      <w:r w:rsidR="009F161C" w:rsidRPr="007462F7">
        <w:rPr>
          <w:rFonts w:ascii="Arial" w:hAnsi="Arial" w:cs="Arial"/>
          <w:lang w:val="en-GB"/>
        </w:rPr>
        <w:t xml:space="preserve">delivery and is not included into </w:t>
      </w:r>
      <w:r w:rsidR="00CC1713" w:rsidRPr="007462F7">
        <w:rPr>
          <w:rFonts w:ascii="Arial" w:hAnsi="Arial" w:cs="Arial"/>
          <w:lang w:val="en-GB"/>
        </w:rPr>
        <w:t xml:space="preserve">the </w:t>
      </w:r>
      <w:r w:rsidR="009F161C" w:rsidRPr="007462F7">
        <w:rPr>
          <w:rFonts w:ascii="Arial" w:hAnsi="Arial" w:cs="Arial"/>
          <w:lang w:val="en-GB"/>
        </w:rPr>
        <w:t xml:space="preserve">bid </w:t>
      </w:r>
      <w:r w:rsidR="00CC1713" w:rsidRPr="007462F7">
        <w:rPr>
          <w:rFonts w:ascii="Arial" w:hAnsi="Arial" w:cs="Arial"/>
          <w:lang w:val="en-GB"/>
        </w:rPr>
        <w:t>price</w:t>
      </w:r>
      <w:r w:rsidR="009F161C" w:rsidRPr="007462F7">
        <w:rPr>
          <w:rFonts w:ascii="Arial" w:hAnsi="Arial" w:cs="Arial"/>
          <w:lang w:val="en-GB"/>
        </w:rPr>
        <w:t xml:space="preserve">, </w:t>
      </w:r>
      <w:r w:rsidR="009F161C" w:rsidRPr="007462F7">
        <w:rPr>
          <w:rFonts w:ascii="Arial" w:hAnsi="Arial" w:cs="Arial"/>
          <w:lang w:val="en"/>
        </w:rPr>
        <w:t xml:space="preserve">required is only a possibility </w:t>
      </w:r>
      <w:r w:rsidR="009F161C" w:rsidRPr="007462F7">
        <w:rPr>
          <w:rFonts w:ascii="Arial" w:hAnsi="Arial" w:cs="Arial"/>
          <w:lang w:val="en"/>
        </w:rPr>
        <w:t>of extension for future needs of the contracting authority</w:t>
      </w:r>
      <w:r w:rsidR="00CC1713" w:rsidRPr="007462F7">
        <w:rPr>
          <w:rFonts w:ascii="Arial" w:hAnsi="Arial" w:cs="Arial"/>
          <w:lang w:val="en-GB"/>
        </w:rPr>
        <w:t>.</w:t>
      </w:r>
    </w:p>
    <w:p w14:paraId="4722F63F" w14:textId="77777777" w:rsidR="00BB7981" w:rsidRPr="007462F7" w:rsidRDefault="001445FB" w:rsidP="009A45B5">
      <w:pPr>
        <w:pStyle w:val="Odstavecseseznamem"/>
        <w:numPr>
          <w:ilvl w:val="1"/>
          <w:numId w:val="1"/>
        </w:numPr>
        <w:ind w:left="426" w:hanging="426"/>
        <w:jc w:val="both"/>
        <w:rPr>
          <w:rFonts w:ascii="Arial" w:hAnsi="Arial" w:cs="Arial"/>
          <w:b/>
          <w:lang w:val="en-GB"/>
        </w:rPr>
      </w:pPr>
      <w:r w:rsidRPr="007462F7">
        <w:rPr>
          <w:rFonts w:ascii="Arial" w:hAnsi="Arial" w:cs="Arial"/>
          <w:b/>
          <w:lang w:val="en-GB"/>
        </w:rPr>
        <w:t>Detail description</w:t>
      </w:r>
    </w:p>
    <w:p w14:paraId="234DA4C2" w14:textId="77777777" w:rsidR="00BB7981" w:rsidRPr="00C40566" w:rsidRDefault="00BB7981">
      <w:pPr>
        <w:pStyle w:val="Odstavecseseznamem"/>
        <w:ind w:left="1080"/>
        <w:jc w:val="both"/>
        <w:rPr>
          <w:rFonts w:ascii="Arial" w:hAnsi="Arial" w:cs="Arial"/>
          <w:b/>
          <w:lang w:val="en-GB"/>
        </w:rPr>
      </w:pPr>
    </w:p>
    <w:p w14:paraId="0613EE49" w14:textId="3BBFB2D5" w:rsidR="005E1804" w:rsidRPr="00C40566" w:rsidRDefault="005E1804">
      <w:pPr>
        <w:pStyle w:val="Odstavecseseznamem"/>
        <w:numPr>
          <w:ilvl w:val="0"/>
          <w:numId w:val="4"/>
        </w:numPr>
        <w:jc w:val="both"/>
        <w:rPr>
          <w:rFonts w:ascii="Arial" w:hAnsi="Arial" w:cs="Arial"/>
          <w:lang w:val="en-GB"/>
        </w:rPr>
      </w:pPr>
      <w:bookmarkStart w:id="0" w:name="OLE_LINK1"/>
      <w:r w:rsidRPr="00C40566">
        <w:rPr>
          <w:rFonts w:ascii="Arial" w:hAnsi="Arial" w:cs="Arial"/>
          <w:lang w:val="en-GB"/>
        </w:rPr>
        <w:t xml:space="preserve">Possibility to </w:t>
      </w:r>
      <w:r w:rsidR="004F7965" w:rsidRPr="00C40566">
        <w:rPr>
          <w:rFonts w:ascii="Arial" w:hAnsi="Arial" w:cs="Arial"/>
          <w:lang w:val="en-GB"/>
        </w:rPr>
        <w:t>cover</w:t>
      </w:r>
      <w:r w:rsidRPr="00C40566">
        <w:rPr>
          <w:rFonts w:ascii="Arial" w:hAnsi="Arial" w:cs="Arial"/>
          <w:lang w:val="en-GB"/>
        </w:rPr>
        <w:t xml:space="preserve"> a m</w:t>
      </w:r>
      <w:r w:rsidR="001445FB" w:rsidRPr="00C40566">
        <w:rPr>
          <w:rFonts w:ascii="Arial" w:hAnsi="Arial" w:cs="Arial"/>
          <w:lang w:val="en-GB"/>
        </w:rPr>
        <w:t xml:space="preserve">inimal temperature range </w:t>
      </w:r>
      <w:r w:rsidR="004F7965" w:rsidRPr="00C40566">
        <w:rPr>
          <w:rFonts w:ascii="Arial" w:hAnsi="Arial" w:cs="Arial"/>
          <w:lang w:val="en-GB"/>
        </w:rPr>
        <w:t>from</w:t>
      </w:r>
      <w:r w:rsidR="001445FB" w:rsidRPr="00C40566">
        <w:rPr>
          <w:rFonts w:ascii="Arial" w:hAnsi="Arial" w:cs="Arial"/>
          <w:lang w:val="en-GB"/>
        </w:rPr>
        <w:t xml:space="preserve"> -1</w:t>
      </w:r>
      <w:r w:rsidR="00692B0E" w:rsidRPr="00C40566">
        <w:rPr>
          <w:rFonts w:ascii="Arial" w:hAnsi="Arial" w:cs="Arial"/>
          <w:lang w:val="en-GB"/>
        </w:rPr>
        <w:t>5</w:t>
      </w:r>
      <w:r w:rsidR="001445FB" w:rsidRPr="00C40566">
        <w:rPr>
          <w:rFonts w:ascii="Arial" w:hAnsi="Arial" w:cs="Arial"/>
          <w:lang w:val="en-GB"/>
        </w:rPr>
        <w:t xml:space="preserve">0 to </w:t>
      </w:r>
      <w:r w:rsidR="00792A09" w:rsidRPr="00C40566">
        <w:rPr>
          <w:rFonts w:ascii="Arial" w:hAnsi="Arial" w:cs="Arial"/>
          <w:lang w:val="en-GB"/>
        </w:rPr>
        <w:t>7</w:t>
      </w:r>
      <w:r w:rsidR="001445FB" w:rsidRPr="00C40566">
        <w:rPr>
          <w:rFonts w:ascii="Arial" w:hAnsi="Arial" w:cs="Arial"/>
          <w:lang w:val="en-GB"/>
        </w:rPr>
        <w:t>00 °C</w:t>
      </w:r>
      <w:r w:rsidRPr="00C40566">
        <w:rPr>
          <w:rFonts w:ascii="Arial" w:hAnsi="Arial" w:cs="Arial"/>
          <w:lang w:val="en-GB"/>
        </w:rPr>
        <w:t xml:space="preserve"> when using liquid nitrogen</w:t>
      </w:r>
    </w:p>
    <w:p w14:paraId="69B3F488" w14:textId="443C604F" w:rsidR="00223FFF" w:rsidRPr="00C40566" w:rsidRDefault="005E1804">
      <w:pPr>
        <w:pStyle w:val="Odstavecseseznamem"/>
        <w:numPr>
          <w:ilvl w:val="0"/>
          <w:numId w:val="4"/>
        </w:numPr>
        <w:jc w:val="both"/>
        <w:rPr>
          <w:rFonts w:ascii="Arial" w:hAnsi="Arial" w:cs="Arial"/>
          <w:lang w:val="en-GB"/>
        </w:rPr>
      </w:pPr>
      <w:r w:rsidRPr="00C40566">
        <w:rPr>
          <w:rFonts w:ascii="Arial" w:hAnsi="Arial" w:cs="Arial"/>
          <w:lang w:val="en-GB"/>
        </w:rPr>
        <w:t xml:space="preserve">Minimal temperature range without liquid nitrogen </w:t>
      </w:r>
      <w:r w:rsidR="004F7965" w:rsidRPr="00C40566">
        <w:rPr>
          <w:rFonts w:ascii="Arial" w:hAnsi="Arial" w:cs="Arial"/>
          <w:lang w:val="en-GB"/>
        </w:rPr>
        <w:t>from</w:t>
      </w:r>
      <w:r w:rsidRPr="00C40566">
        <w:rPr>
          <w:rFonts w:ascii="Arial" w:hAnsi="Arial" w:cs="Arial"/>
          <w:lang w:val="en-GB"/>
        </w:rPr>
        <w:t xml:space="preserve"> -90 to 700 °C</w:t>
      </w:r>
      <w:bookmarkStart w:id="1" w:name="_GoBack"/>
      <w:bookmarkEnd w:id="1"/>
    </w:p>
    <w:p w14:paraId="36914DFE" w14:textId="2B0E05FB" w:rsidR="00BB7981" w:rsidRPr="00C40566" w:rsidRDefault="00E36C83">
      <w:pPr>
        <w:pStyle w:val="Odstavecseseznamem"/>
        <w:numPr>
          <w:ilvl w:val="0"/>
          <w:numId w:val="4"/>
        </w:numPr>
        <w:jc w:val="both"/>
        <w:rPr>
          <w:rFonts w:ascii="Arial" w:hAnsi="Arial" w:cs="Arial"/>
          <w:lang w:val="en-GB"/>
        </w:rPr>
      </w:pPr>
      <w:r w:rsidRPr="00C40566">
        <w:rPr>
          <w:rFonts w:ascii="Arial" w:hAnsi="Arial" w:cs="Arial"/>
          <w:lang w:val="en-GB"/>
        </w:rPr>
        <w:t>Possibility to e</w:t>
      </w:r>
      <w:r w:rsidR="001445FB" w:rsidRPr="00C40566">
        <w:rPr>
          <w:rFonts w:ascii="Arial" w:hAnsi="Arial" w:cs="Arial"/>
          <w:lang w:val="en-GB"/>
        </w:rPr>
        <w:t>xchange cooling and sensor units</w:t>
      </w:r>
    </w:p>
    <w:p w14:paraId="590A64D9" w14:textId="3ACD5BFC" w:rsidR="00B9066B" w:rsidRPr="00C40566" w:rsidRDefault="00B9066B">
      <w:pPr>
        <w:pStyle w:val="Odstavecseseznamem"/>
        <w:numPr>
          <w:ilvl w:val="0"/>
          <w:numId w:val="4"/>
        </w:numPr>
        <w:jc w:val="both"/>
        <w:rPr>
          <w:rFonts w:ascii="Arial" w:hAnsi="Arial" w:cs="Arial"/>
          <w:lang w:val="en-GB"/>
        </w:rPr>
      </w:pPr>
      <w:r w:rsidRPr="00C40566">
        <w:rPr>
          <w:rFonts w:ascii="Arial" w:hAnsi="Arial" w:cs="Arial"/>
          <w:lang w:val="en-GB"/>
        </w:rPr>
        <w:t>DSC sensor resolution ≤ 0,06 µW</w:t>
      </w:r>
    </w:p>
    <w:p w14:paraId="734E954E" w14:textId="05957899" w:rsidR="00B9066B" w:rsidRPr="00C40566" w:rsidRDefault="00BB5F2E">
      <w:pPr>
        <w:pStyle w:val="Odstavecseseznamem"/>
        <w:numPr>
          <w:ilvl w:val="0"/>
          <w:numId w:val="4"/>
        </w:numPr>
        <w:jc w:val="both"/>
        <w:rPr>
          <w:rFonts w:ascii="Arial" w:hAnsi="Arial" w:cs="Arial"/>
          <w:lang w:val="en-GB"/>
        </w:rPr>
      </w:pPr>
      <w:r>
        <w:rPr>
          <w:rFonts w:ascii="Arial" w:hAnsi="Arial" w:cs="Arial"/>
          <w:lang w:val="en-GB"/>
        </w:rPr>
        <w:t>DSC heating chamber</w:t>
      </w:r>
      <w:r w:rsidR="00B9066B" w:rsidRPr="00C40566">
        <w:rPr>
          <w:rFonts w:ascii="Arial" w:hAnsi="Arial" w:cs="Arial"/>
          <w:lang w:val="en-GB"/>
        </w:rPr>
        <w:t xml:space="preserve"> temperature resolution ≤ 0,009 °C</w:t>
      </w:r>
    </w:p>
    <w:p w14:paraId="7F69E728" w14:textId="2B6BC06D" w:rsidR="00BB7981" w:rsidRPr="00C40566" w:rsidRDefault="001445FB">
      <w:pPr>
        <w:pStyle w:val="Odstavecseseznamem"/>
        <w:numPr>
          <w:ilvl w:val="0"/>
          <w:numId w:val="4"/>
        </w:numPr>
        <w:jc w:val="both"/>
        <w:rPr>
          <w:rFonts w:ascii="Arial" w:hAnsi="Arial" w:cs="Arial"/>
          <w:lang w:val="en-GB"/>
        </w:rPr>
      </w:pPr>
      <w:r w:rsidRPr="00C40566">
        <w:rPr>
          <w:rFonts w:ascii="Arial" w:hAnsi="Arial" w:cs="Arial"/>
          <w:lang w:val="en-GB"/>
        </w:rPr>
        <w:t>Ability to work with UV</w:t>
      </w:r>
      <w:r w:rsidR="00E36C83" w:rsidRPr="00C40566">
        <w:rPr>
          <w:rFonts w:ascii="Arial" w:hAnsi="Arial" w:cs="Arial"/>
          <w:lang w:val="en-GB"/>
        </w:rPr>
        <w:t xml:space="preserve"> curing</w:t>
      </w:r>
      <w:r w:rsidRPr="00C40566">
        <w:rPr>
          <w:rFonts w:ascii="Arial" w:hAnsi="Arial" w:cs="Arial"/>
          <w:lang w:val="en-GB"/>
        </w:rPr>
        <w:t xml:space="preserve"> extension</w:t>
      </w:r>
    </w:p>
    <w:p w14:paraId="1CD5DA3A" w14:textId="65EEA701" w:rsidR="00BB7981" w:rsidRPr="00C40566" w:rsidRDefault="001445FB">
      <w:pPr>
        <w:pStyle w:val="Odstavecseseznamem"/>
        <w:numPr>
          <w:ilvl w:val="0"/>
          <w:numId w:val="4"/>
        </w:numPr>
        <w:jc w:val="both"/>
        <w:rPr>
          <w:rFonts w:ascii="Arial" w:hAnsi="Arial" w:cs="Arial"/>
          <w:lang w:val="en-GB"/>
        </w:rPr>
      </w:pPr>
      <w:r w:rsidRPr="00C40566">
        <w:rPr>
          <w:rFonts w:ascii="Arial" w:hAnsi="Arial" w:cs="Arial"/>
          <w:lang w:val="en-GB"/>
        </w:rPr>
        <w:t>PC</w:t>
      </w:r>
      <w:r w:rsidR="00692B0E" w:rsidRPr="00C40566">
        <w:rPr>
          <w:rFonts w:ascii="Arial" w:hAnsi="Arial" w:cs="Arial"/>
          <w:lang w:val="en-GB"/>
        </w:rPr>
        <w:t xml:space="preserve"> with</w:t>
      </w:r>
      <w:r w:rsidR="00FB09A7" w:rsidRPr="00C40566">
        <w:rPr>
          <w:rFonts w:ascii="Arial" w:hAnsi="Arial" w:cs="Arial"/>
          <w:lang w:val="en-GB"/>
        </w:rPr>
        <w:t xml:space="preserve"> a</w:t>
      </w:r>
      <w:r w:rsidRPr="00C40566">
        <w:rPr>
          <w:rFonts w:ascii="Arial" w:hAnsi="Arial" w:cs="Arial"/>
          <w:lang w:val="en-GB"/>
        </w:rPr>
        <w:t xml:space="preserve"> software for</w:t>
      </w:r>
      <w:r w:rsidR="00C851BA" w:rsidRPr="00C40566">
        <w:rPr>
          <w:rFonts w:ascii="Arial" w:hAnsi="Arial" w:cs="Arial"/>
          <w:lang w:val="en-GB"/>
        </w:rPr>
        <w:t xml:space="preserve"> DSC</w:t>
      </w:r>
      <w:r w:rsidRPr="00C40566">
        <w:rPr>
          <w:rFonts w:ascii="Arial" w:hAnsi="Arial" w:cs="Arial"/>
          <w:lang w:val="en-GB"/>
        </w:rPr>
        <w:t xml:space="preserve"> machine operating, data collection and analysis</w:t>
      </w:r>
    </w:p>
    <w:p w14:paraId="3241EB8B" w14:textId="0A57DE84" w:rsidR="00FB09A7" w:rsidRPr="00C40566" w:rsidRDefault="00FB09A7">
      <w:pPr>
        <w:pStyle w:val="Odstavecseseznamem"/>
        <w:numPr>
          <w:ilvl w:val="0"/>
          <w:numId w:val="4"/>
        </w:numPr>
        <w:jc w:val="both"/>
        <w:rPr>
          <w:rFonts w:ascii="Arial" w:hAnsi="Arial" w:cs="Arial"/>
          <w:lang w:val="en-GB"/>
        </w:rPr>
      </w:pPr>
      <w:r w:rsidRPr="00C40566">
        <w:rPr>
          <w:rFonts w:ascii="Arial" w:hAnsi="Arial" w:cs="Arial"/>
          <w:lang w:val="en-GB"/>
        </w:rPr>
        <w:t>The delivery should include stamp for specimen preparation and at least 200</w:t>
      </w:r>
      <w:r w:rsidR="00B50E4E" w:rsidRPr="00C40566">
        <w:rPr>
          <w:rFonts w:ascii="Arial" w:hAnsi="Arial" w:cs="Arial"/>
          <w:lang w:val="en-GB"/>
        </w:rPr>
        <w:t xml:space="preserve"> aluminium</w:t>
      </w:r>
      <w:r w:rsidRPr="00C40566">
        <w:rPr>
          <w:rFonts w:ascii="Arial" w:hAnsi="Arial" w:cs="Arial"/>
          <w:lang w:val="en-GB"/>
        </w:rPr>
        <w:t xml:space="preserve"> specimen cups with covers</w:t>
      </w:r>
    </w:p>
    <w:p w14:paraId="53219DBD" w14:textId="54082973" w:rsidR="00BB7981" w:rsidRPr="00C40566" w:rsidRDefault="00E36C83">
      <w:pPr>
        <w:pStyle w:val="Odstavecseseznamem"/>
        <w:numPr>
          <w:ilvl w:val="0"/>
          <w:numId w:val="4"/>
        </w:numPr>
        <w:jc w:val="both"/>
        <w:rPr>
          <w:rFonts w:ascii="Arial" w:hAnsi="Arial" w:cs="Arial"/>
          <w:lang w:val="en-GB"/>
        </w:rPr>
      </w:pPr>
      <w:r w:rsidRPr="00C40566">
        <w:rPr>
          <w:rFonts w:ascii="Arial" w:hAnsi="Arial" w:cs="Arial"/>
          <w:lang w:val="en-GB"/>
        </w:rPr>
        <w:t>Possibility to use g</w:t>
      </w:r>
      <w:r w:rsidR="001445FB" w:rsidRPr="00C40566">
        <w:rPr>
          <w:rFonts w:ascii="Arial" w:hAnsi="Arial" w:cs="Arial"/>
          <w:lang w:val="en-GB"/>
        </w:rPr>
        <w:t>as atmospheres: inert, oxidative, static and dynamic</w:t>
      </w:r>
    </w:p>
    <w:p w14:paraId="31201E02" w14:textId="382C00F4" w:rsidR="008D0136" w:rsidRPr="00C40566" w:rsidRDefault="008D0136">
      <w:pPr>
        <w:pStyle w:val="Odstavecseseznamem"/>
        <w:numPr>
          <w:ilvl w:val="0"/>
          <w:numId w:val="4"/>
        </w:numPr>
        <w:jc w:val="both"/>
        <w:rPr>
          <w:rFonts w:ascii="Arial" w:hAnsi="Arial" w:cs="Arial"/>
          <w:lang w:val="en-GB"/>
        </w:rPr>
      </w:pPr>
      <w:r w:rsidRPr="00C40566">
        <w:rPr>
          <w:rFonts w:ascii="Arial" w:hAnsi="Arial" w:cs="Arial"/>
          <w:lang w:val="en-GB"/>
        </w:rPr>
        <w:t>Modulated DSC technique application</w:t>
      </w:r>
    </w:p>
    <w:p w14:paraId="1E297D55" w14:textId="501BB25A" w:rsidR="008D0136" w:rsidRPr="00C40566" w:rsidRDefault="008D0136">
      <w:pPr>
        <w:pStyle w:val="Odstavecseseznamem"/>
        <w:numPr>
          <w:ilvl w:val="0"/>
          <w:numId w:val="4"/>
        </w:numPr>
        <w:jc w:val="both"/>
        <w:rPr>
          <w:rFonts w:ascii="Arial" w:hAnsi="Arial" w:cs="Arial"/>
          <w:lang w:val="en-GB"/>
        </w:rPr>
      </w:pPr>
      <w:r w:rsidRPr="00C40566">
        <w:rPr>
          <w:rFonts w:ascii="Arial" w:hAnsi="Arial" w:cs="Arial"/>
          <w:lang w:val="en-GB"/>
        </w:rPr>
        <w:t>Autosamples extension must be possible</w:t>
      </w:r>
    </w:p>
    <w:p w14:paraId="231FDC7F" w14:textId="6DF90E88" w:rsidR="0079413B" w:rsidRPr="00C40566" w:rsidRDefault="0079413B">
      <w:pPr>
        <w:pStyle w:val="Odstavecseseznamem"/>
        <w:numPr>
          <w:ilvl w:val="0"/>
          <w:numId w:val="4"/>
        </w:numPr>
        <w:jc w:val="both"/>
        <w:rPr>
          <w:rFonts w:ascii="Arial" w:hAnsi="Arial" w:cs="Arial"/>
          <w:lang w:val="en-GB"/>
        </w:rPr>
      </w:pPr>
      <w:r w:rsidRPr="00C40566">
        <w:rPr>
          <w:rFonts w:ascii="Arial" w:hAnsi="Arial" w:cs="Arial"/>
          <w:lang w:val="en-GB"/>
        </w:rPr>
        <w:t>Possibility to export data to MS Excel format</w:t>
      </w:r>
    </w:p>
    <w:p w14:paraId="38B9EF3C" w14:textId="77777777" w:rsidR="008D0136" w:rsidRPr="00C40566" w:rsidRDefault="008D0136" w:rsidP="00C40566">
      <w:pPr>
        <w:pStyle w:val="Odstavecseseznamem"/>
        <w:ind w:left="1080"/>
        <w:jc w:val="both"/>
        <w:rPr>
          <w:rFonts w:ascii="Arial" w:hAnsi="Arial" w:cs="Arial"/>
          <w:lang w:val="en-GB"/>
        </w:rPr>
      </w:pPr>
    </w:p>
    <w:bookmarkEnd w:id="0"/>
    <w:p w14:paraId="5034D24C" w14:textId="77777777" w:rsidR="00BB7981" w:rsidRPr="00C40566" w:rsidRDefault="00BB7981">
      <w:pPr>
        <w:pStyle w:val="Odstavecseseznamem"/>
        <w:rPr>
          <w:rFonts w:ascii="Arial" w:hAnsi="Arial" w:cs="Arial"/>
          <w:b/>
          <w:lang w:val="en-GB"/>
        </w:rPr>
      </w:pPr>
    </w:p>
    <w:p w14:paraId="15749FCE" w14:textId="77777777" w:rsidR="00BB7981" w:rsidRPr="00C40566" w:rsidRDefault="001445FB" w:rsidP="009A45B5">
      <w:pPr>
        <w:pStyle w:val="Odstavecseseznamem"/>
        <w:keepNext/>
        <w:numPr>
          <w:ilvl w:val="0"/>
          <w:numId w:val="1"/>
        </w:numPr>
        <w:ind w:left="714" w:hanging="357"/>
        <w:jc w:val="both"/>
        <w:rPr>
          <w:rFonts w:ascii="Arial" w:hAnsi="Arial" w:cs="Arial"/>
          <w:b/>
          <w:lang w:val="en-GB"/>
        </w:rPr>
      </w:pPr>
      <w:r w:rsidRPr="00C40566">
        <w:rPr>
          <w:rFonts w:ascii="Arial" w:hAnsi="Arial" w:cs="Arial"/>
          <w:b/>
          <w:lang w:val="en-GB"/>
        </w:rPr>
        <w:lastRenderedPageBreak/>
        <w:t>Example of possible solution</w:t>
      </w:r>
    </w:p>
    <w:p w14:paraId="36234E6B" w14:textId="77777777" w:rsidR="00BB7981" w:rsidRPr="00C40566" w:rsidRDefault="001445FB">
      <w:pPr>
        <w:ind w:left="360"/>
        <w:jc w:val="both"/>
        <w:rPr>
          <w:rFonts w:ascii="Arial" w:hAnsi="Arial" w:cs="Arial"/>
          <w:b/>
          <w:lang w:val="en-GB"/>
        </w:rPr>
      </w:pPr>
      <w:r w:rsidRPr="00C40566">
        <w:rPr>
          <w:rFonts w:ascii="Arial" w:hAnsi="Arial" w:cs="Arial"/>
          <w:b/>
          <w:noProof/>
          <w:lang w:eastAsia="cs-CZ"/>
        </w:rPr>
        <w:drawing>
          <wp:inline distT="0" distB="0" distL="0" distR="0" wp14:anchorId="49F0A065" wp14:editId="2F4612C1">
            <wp:extent cx="5303520" cy="395160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3520" cy="3951605"/>
                    </a:xfrm>
                    <a:prstGeom prst="rect">
                      <a:avLst/>
                    </a:prstGeom>
                    <a:noFill/>
                    <a:ln w="9525">
                      <a:noFill/>
                      <a:miter lim="800000"/>
                      <a:headEnd/>
                      <a:tailEnd/>
                    </a:ln>
                  </pic:spPr>
                </pic:pic>
              </a:graphicData>
            </a:graphic>
          </wp:inline>
        </w:drawing>
      </w:r>
    </w:p>
    <w:p w14:paraId="03843BA3" w14:textId="77777777" w:rsidR="00BB7981" w:rsidRPr="00C40566" w:rsidRDefault="00BB7981">
      <w:pPr>
        <w:rPr>
          <w:rFonts w:ascii="Arial" w:hAnsi="Arial" w:cs="Arial"/>
          <w:b/>
          <w:lang w:val="en-GB"/>
        </w:rPr>
      </w:pPr>
    </w:p>
    <w:p w14:paraId="02F08AC0" w14:textId="77777777" w:rsidR="00BB7981" w:rsidRPr="00C40566" w:rsidRDefault="001445FB" w:rsidP="009A45B5">
      <w:pPr>
        <w:pStyle w:val="Odstavecseseznamem"/>
        <w:numPr>
          <w:ilvl w:val="0"/>
          <w:numId w:val="1"/>
        </w:numPr>
        <w:ind w:left="426" w:hanging="426"/>
        <w:rPr>
          <w:rFonts w:ascii="Arial" w:hAnsi="Arial" w:cs="Arial"/>
          <w:b/>
          <w:lang w:val="en-GB"/>
        </w:rPr>
      </w:pPr>
      <w:r w:rsidRPr="00C40566">
        <w:rPr>
          <w:rFonts w:ascii="Arial" w:hAnsi="Arial" w:cs="Arial"/>
          <w:b/>
          <w:lang w:val="en-GB"/>
        </w:rPr>
        <w:t>Place and scope of delivery</w:t>
      </w:r>
    </w:p>
    <w:p w14:paraId="61079382" w14:textId="39868928" w:rsidR="00BB7981" w:rsidRPr="00C40566" w:rsidRDefault="001445FB">
      <w:pPr>
        <w:jc w:val="both"/>
        <w:rPr>
          <w:rFonts w:ascii="Arial" w:hAnsi="Arial" w:cs="Arial"/>
          <w:lang w:val="en-GB"/>
        </w:rPr>
      </w:pPr>
      <w:r w:rsidRPr="00C40566">
        <w:rPr>
          <w:rFonts w:ascii="Arial" w:hAnsi="Arial" w:cs="Arial"/>
          <w:lang w:val="en-GB"/>
        </w:rPr>
        <w:t>Packaging and transpostation costs have to be a part of the delivery and taken into the bid price. Installation and commissioning of the DSC equipment at the address below must be a part of the delivery and taken into bid price too.</w:t>
      </w:r>
    </w:p>
    <w:p w14:paraId="1260C091" w14:textId="77777777" w:rsidR="001445FB" w:rsidRPr="00C40566" w:rsidRDefault="001445FB" w:rsidP="001445FB">
      <w:pPr>
        <w:spacing w:after="120"/>
        <w:rPr>
          <w:rFonts w:ascii="Arial" w:hAnsi="Arial" w:cs="Arial"/>
          <w:lang w:val="en-GB"/>
        </w:rPr>
      </w:pPr>
      <w:r w:rsidRPr="00C40566">
        <w:rPr>
          <w:rFonts w:ascii="Arial" w:hAnsi="Arial" w:cs="Arial"/>
          <w:lang w:val="en-GB"/>
        </w:rPr>
        <w:t>Address of the place of performance:</w:t>
      </w:r>
    </w:p>
    <w:p w14:paraId="24C83B1E" w14:textId="77777777" w:rsidR="001445FB" w:rsidRPr="00C40566" w:rsidRDefault="001445FB" w:rsidP="001445FB">
      <w:pPr>
        <w:spacing w:after="120"/>
        <w:jc w:val="both"/>
        <w:rPr>
          <w:rFonts w:ascii="Arial" w:hAnsi="Arial" w:cs="Arial"/>
          <w:lang w:val="en-GB"/>
        </w:rPr>
      </w:pPr>
      <w:r w:rsidRPr="00C40566">
        <w:rPr>
          <w:rFonts w:ascii="Arial" w:hAnsi="Arial" w:cs="Arial"/>
          <w:lang w:val="en-GB"/>
        </w:rPr>
        <w:t>Continental Automotive Czech Republic, s. r. o.</w:t>
      </w:r>
    </w:p>
    <w:p w14:paraId="3090A978" w14:textId="77777777" w:rsidR="001445FB" w:rsidRPr="00C40566" w:rsidRDefault="001445FB" w:rsidP="001445FB">
      <w:pPr>
        <w:spacing w:after="120"/>
        <w:jc w:val="both"/>
        <w:rPr>
          <w:rFonts w:ascii="Arial" w:hAnsi="Arial" w:cs="Arial"/>
          <w:lang w:val="en-GB"/>
        </w:rPr>
      </w:pPr>
      <w:r w:rsidRPr="00C40566">
        <w:rPr>
          <w:rFonts w:ascii="Arial" w:hAnsi="Arial" w:cs="Arial"/>
          <w:lang w:val="en-GB"/>
        </w:rPr>
        <w:t>Na Rovince 879</w:t>
      </w:r>
    </w:p>
    <w:p w14:paraId="38C22395" w14:textId="77777777" w:rsidR="001445FB" w:rsidRPr="00C40566" w:rsidRDefault="001445FB" w:rsidP="001445FB">
      <w:pPr>
        <w:spacing w:after="120"/>
        <w:jc w:val="both"/>
        <w:rPr>
          <w:rFonts w:ascii="Arial" w:hAnsi="Arial" w:cs="Arial"/>
          <w:lang w:val="en-GB"/>
        </w:rPr>
      </w:pPr>
      <w:r w:rsidRPr="00C40566">
        <w:rPr>
          <w:rFonts w:ascii="Arial" w:hAnsi="Arial" w:cs="Arial"/>
          <w:lang w:val="en-GB"/>
        </w:rPr>
        <w:t>720 00 Ostrava – Hrabová</w:t>
      </w:r>
    </w:p>
    <w:p w14:paraId="4476EE7A" w14:textId="77777777" w:rsidR="00BB7981" w:rsidRPr="00C40566" w:rsidRDefault="00BB7981">
      <w:pPr>
        <w:rPr>
          <w:rFonts w:ascii="Arial" w:hAnsi="Arial" w:cs="Arial"/>
          <w:lang w:val="en-GB"/>
        </w:rPr>
      </w:pPr>
    </w:p>
    <w:p w14:paraId="21A79790" w14:textId="77777777" w:rsidR="00BB7981" w:rsidRPr="00C40566" w:rsidRDefault="001445FB" w:rsidP="009A45B5">
      <w:pPr>
        <w:pStyle w:val="Odstavecseseznamem"/>
        <w:numPr>
          <w:ilvl w:val="0"/>
          <w:numId w:val="1"/>
        </w:numPr>
        <w:ind w:left="426" w:hanging="426"/>
        <w:rPr>
          <w:rFonts w:ascii="Arial" w:hAnsi="Arial" w:cs="Arial"/>
          <w:b/>
          <w:lang w:val="en-GB"/>
        </w:rPr>
      </w:pPr>
      <w:r w:rsidRPr="00C40566">
        <w:rPr>
          <w:rFonts w:ascii="Arial" w:hAnsi="Arial" w:cs="Arial"/>
          <w:b/>
          <w:lang w:val="en-GB"/>
        </w:rPr>
        <w:t>Requested documents</w:t>
      </w:r>
    </w:p>
    <w:p w14:paraId="356E2F9A" w14:textId="77777777" w:rsidR="00BB7981" w:rsidRPr="00C40566" w:rsidRDefault="00BB7981">
      <w:pPr>
        <w:pStyle w:val="Odstavecseseznamem"/>
        <w:rPr>
          <w:rFonts w:ascii="Arial" w:hAnsi="Arial" w:cs="Arial"/>
          <w:b/>
          <w:sz w:val="12"/>
          <w:szCs w:val="12"/>
          <w:lang w:val="en-GB"/>
        </w:rPr>
      </w:pPr>
    </w:p>
    <w:p w14:paraId="5F24FAF0" w14:textId="77777777" w:rsidR="00BB7981" w:rsidRPr="00C40566" w:rsidRDefault="001445FB">
      <w:pPr>
        <w:pStyle w:val="Odstavecseseznamem"/>
        <w:numPr>
          <w:ilvl w:val="0"/>
          <w:numId w:val="7"/>
        </w:numPr>
        <w:spacing w:after="0"/>
        <w:jc w:val="both"/>
        <w:rPr>
          <w:rFonts w:ascii="Arial" w:hAnsi="Arial" w:cs="Arial"/>
          <w:lang w:val="en-GB"/>
        </w:rPr>
      </w:pPr>
      <w:r w:rsidRPr="00C40566">
        <w:rPr>
          <w:rFonts w:ascii="Arial" w:hAnsi="Arial" w:cs="Arial"/>
          <w:lang w:val="en-GB"/>
        </w:rPr>
        <w:t>CE declaration of conformity</w:t>
      </w:r>
    </w:p>
    <w:p w14:paraId="28BBBAC8" w14:textId="77777777" w:rsidR="00BB7981" w:rsidRPr="00C40566" w:rsidRDefault="001445FB">
      <w:pPr>
        <w:pStyle w:val="Odstavecseseznamem"/>
        <w:numPr>
          <w:ilvl w:val="0"/>
          <w:numId w:val="7"/>
        </w:numPr>
        <w:spacing w:after="0"/>
        <w:jc w:val="both"/>
        <w:rPr>
          <w:rFonts w:ascii="Arial" w:hAnsi="Arial" w:cs="Arial"/>
          <w:lang w:val="en-GB"/>
        </w:rPr>
      </w:pPr>
      <w:r w:rsidRPr="00C40566">
        <w:rPr>
          <w:rFonts w:ascii="Arial" w:hAnsi="Arial" w:cs="Arial"/>
          <w:lang w:val="en-GB"/>
        </w:rPr>
        <w:t>User´s manual</w:t>
      </w:r>
    </w:p>
    <w:p w14:paraId="44F94C38" w14:textId="77777777" w:rsidR="00BB7981" w:rsidRPr="00C40566" w:rsidRDefault="001445FB">
      <w:pPr>
        <w:pStyle w:val="Odstavecseseznamem"/>
        <w:numPr>
          <w:ilvl w:val="0"/>
          <w:numId w:val="7"/>
        </w:numPr>
        <w:spacing w:after="0"/>
        <w:jc w:val="both"/>
        <w:rPr>
          <w:rFonts w:ascii="Arial" w:hAnsi="Arial" w:cs="Arial"/>
          <w:b/>
          <w:lang w:val="en-GB"/>
        </w:rPr>
      </w:pPr>
      <w:r w:rsidRPr="00C40566">
        <w:rPr>
          <w:rFonts w:ascii="Arial" w:hAnsi="Arial" w:cs="Arial"/>
          <w:lang w:val="en-GB"/>
        </w:rPr>
        <w:t>List of spare parts</w:t>
      </w:r>
    </w:p>
    <w:p w14:paraId="2AEDD7B6" w14:textId="77777777" w:rsidR="00BB7981" w:rsidRPr="00C40566" w:rsidRDefault="001445FB">
      <w:pPr>
        <w:pStyle w:val="Odstavecseseznamem"/>
        <w:numPr>
          <w:ilvl w:val="0"/>
          <w:numId w:val="7"/>
        </w:numPr>
        <w:spacing w:after="0"/>
        <w:jc w:val="both"/>
        <w:rPr>
          <w:rFonts w:ascii="Arial" w:hAnsi="Arial" w:cs="Arial"/>
          <w:b/>
          <w:lang w:val="en-GB"/>
        </w:rPr>
      </w:pPr>
      <w:r w:rsidRPr="00C40566">
        <w:rPr>
          <w:rFonts w:ascii="Arial" w:hAnsi="Arial" w:cs="Arial"/>
          <w:lang w:val="en-GB"/>
        </w:rPr>
        <w:t>Hazard notes for application</w:t>
      </w:r>
    </w:p>
    <w:p w14:paraId="01793305" w14:textId="77777777" w:rsidR="00BB7981" w:rsidRPr="00C40566" w:rsidRDefault="00BB7981">
      <w:pPr>
        <w:pStyle w:val="Odstavecseseznamem"/>
        <w:rPr>
          <w:rFonts w:ascii="Arial" w:hAnsi="Arial" w:cs="Arial"/>
          <w:b/>
          <w:lang w:val="en-GB"/>
        </w:rPr>
      </w:pPr>
    </w:p>
    <w:p w14:paraId="21A6E863" w14:textId="77777777" w:rsidR="00BB7981" w:rsidRPr="00C40566" w:rsidRDefault="001445FB" w:rsidP="009A45B5">
      <w:pPr>
        <w:pStyle w:val="Odstavecseseznamem"/>
        <w:numPr>
          <w:ilvl w:val="0"/>
          <w:numId w:val="1"/>
        </w:numPr>
        <w:ind w:left="426" w:hanging="426"/>
        <w:rPr>
          <w:rFonts w:ascii="Arial" w:hAnsi="Arial" w:cs="Arial"/>
          <w:b/>
          <w:lang w:val="en-GB"/>
        </w:rPr>
      </w:pPr>
      <w:r w:rsidRPr="00C40566">
        <w:rPr>
          <w:rFonts w:ascii="Arial" w:hAnsi="Arial" w:cs="Arial"/>
          <w:b/>
          <w:lang w:val="en-GB"/>
        </w:rPr>
        <w:lastRenderedPageBreak/>
        <w:t>Operators and maintanance training</w:t>
      </w:r>
    </w:p>
    <w:p w14:paraId="1B2DDFD5" w14:textId="75B965E4" w:rsidR="00BB7981" w:rsidRPr="00C40566" w:rsidRDefault="001445FB">
      <w:pPr>
        <w:jc w:val="both"/>
        <w:rPr>
          <w:rFonts w:ascii="Arial" w:hAnsi="Arial" w:cs="Arial"/>
          <w:lang w:val="en-GB"/>
        </w:rPr>
      </w:pPr>
      <w:r w:rsidRPr="00C40566">
        <w:rPr>
          <w:rFonts w:ascii="Arial" w:hAnsi="Arial" w:cs="Arial"/>
          <w:lang w:val="en-GB"/>
        </w:rPr>
        <w:t>Operations and maintenance training (at least sixteen hours, two working days) must be an integral part of delivery and taken into the bid price. Offered range of the training will be stated in the bidder´s offer.</w:t>
      </w:r>
    </w:p>
    <w:sectPr w:rsidR="00BB7981" w:rsidRPr="00C405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92AFD" w14:textId="77777777" w:rsidR="009A45B5" w:rsidRDefault="009A45B5" w:rsidP="009A45B5">
      <w:pPr>
        <w:spacing w:after="0" w:line="240" w:lineRule="auto"/>
      </w:pPr>
      <w:r>
        <w:separator/>
      </w:r>
    </w:p>
  </w:endnote>
  <w:endnote w:type="continuationSeparator" w:id="0">
    <w:p w14:paraId="2BBB1668" w14:textId="77777777" w:rsidR="009A45B5" w:rsidRDefault="009A45B5" w:rsidP="009A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BDEE1" w14:textId="77777777" w:rsidR="009A45B5" w:rsidRDefault="009A45B5" w:rsidP="009A45B5">
      <w:pPr>
        <w:spacing w:after="0" w:line="240" w:lineRule="auto"/>
      </w:pPr>
      <w:r>
        <w:separator/>
      </w:r>
    </w:p>
  </w:footnote>
  <w:footnote w:type="continuationSeparator" w:id="0">
    <w:p w14:paraId="601BE8CA" w14:textId="77777777" w:rsidR="009A45B5" w:rsidRDefault="009A45B5" w:rsidP="009A4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C4DF5" w14:textId="77777777" w:rsidR="009A45B5" w:rsidRPr="00F36318" w:rsidRDefault="009A45B5" w:rsidP="009A45B5">
    <w:pPr>
      <w:pStyle w:val="Zhlav"/>
      <w:spacing w:after="120"/>
      <w:rPr>
        <w:b/>
      </w:rPr>
    </w:pPr>
    <w:r>
      <w:rPr>
        <w:b/>
      </w:rPr>
      <w:t>Appendix no</w:t>
    </w:r>
    <w:r w:rsidRPr="00F36318">
      <w:rPr>
        <w:b/>
      </w:rPr>
      <w:t>. 4</w:t>
    </w:r>
  </w:p>
  <w:tbl>
    <w:tblPr>
      <w:tblW w:w="5000" w:type="pct"/>
      <w:tblCellMar>
        <w:left w:w="70" w:type="dxa"/>
        <w:right w:w="70" w:type="dxa"/>
      </w:tblCellMar>
      <w:tblLook w:val="0000" w:firstRow="0" w:lastRow="0" w:firstColumn="0" w:lastColumn="0" w:noHBand="0" w:noVBand="0"/>
    </w:tblPr>
    <w:tblGrid>
      <w:gridCol w:w="6102"/>
      <w:gridCol w:w="2960"/>
    </w:tblGrid>
    <w:tr w:rsidR="009A45B5" w14:paraId="17CAD23B" w14:textId="77777777" w:rsidTr="002E0B8C">
      <w:trPr>
        <w:cantSplit/>
        <w:trHeight w:val="970"/>
      </w:trPr>
      <w:tc>
        <w:tcPr>
          <w:tcW w:w="3678" w:type="pct"/>
          <w:tcBorders>
            <w:top w:val="single" w:sz="4" w:space="0" w:color="000000"/>
            <w:left w:val="single" w:sz="4" w:space="0" w:color="000000"/>
            <w:bottom w:val="single" w:sz="4" w:space="0" w:color="000000"/>
          </w:tcBorders>
          <w:vAlign w:val="center"/>
        </w:tcPr>
        <w:p w14:paraId="75075ED5" w14:textId="77777777" w:rsidR="009A45B5" w:rsidRDefault="009A45B5" w:rsidP="009A45B5">
          <w:pPr>
            <w:pStyle w:val="Zhlav"/>
            <w:tabs>
              <w:tab w:val="clear" w:pos="4536"/>
              <w:tab w:val="clear" w:pos="9072"/>
            </w:tabs>
            <w:jc w:val="center"/>
          </w:pPr>
          <w:r>
            <w:rPr>
              <w:rFonts w:cs="Arial"/>
              <w:b/>
              <w:caps/>
              <w:sz w:val="36"/>
              <w:szCs w:val="36"/>
            </w:rPr>
            <w:t>TENDER DOCUMENTATION</w:t>
          </w:r>
        </w:p>
      </w:tc>
      <w:tc>
        <w:tcPr>
          <w:tcW w:w="1322" w:type="pct"/>
          <w:tcBorders>
            <w:top w:val="single" w:sz="4" w:space="0" w:color="000000"/>
            <w:left w:val="single" w:sz="4" w:space="0" w:color="000000"/>
            <w:bottom w:val="single" w:sz="4" w:space="0" w:color="000000"/>
            <w:right w:val="single" w:sz="4" w:space="0" w:color="000000"/>
          </w:tcBorders>
          <w:vAlign w:val="center"/>
        </w:tcPr>
        <w:p w14:paraId="36CDFF60" w14:textId="77777777" w:rsidR="009A45B5" w:rsidRDefault="009A45B5" w:rsidP="009A45B5">
          <w:pPr>
            <w:pStyle w:val="Zhlav"/>
          </w:pPr>
          <w:r>
            <w:rPr>
              <w:noProof/>
              <w:lang w:eastAsia="cs-CZ"/>
            </w:rPr>
            <w:drawing>
              <wp:inline distT="0" distB="0" distL="0" distR="0" wp14:anchorId="7E4025AD" wp14:editId="7DF26A56">
                <wp:extent cx="1762125" cy="476250"/>
                <wp:effectExtent l="19050" t="0" r="9525" b="0"/>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762125" cy="476250"/>
                        </a:xfrm>
                        <a:prstGeom prst="rect">
                          <a:avLst/>
                        </a:prstGeom>
                        <a:noFill/>
                        <a:ln w="9525">
                          <a:noFill/>
                          <a:miter lim="800000"/>
                          <a:headEnd/>
                          <a:tailEnd/>
                        </a:ln>
                      </pic:spPr>
                    </pic:pic>
                  </a:graphicData>
                </a:graphic>
              </wp:inline>
            </w:drawing>
          </w:r>
        </w:p>
      </w:tc>
    </w:tr>
  </w:tbl>
  <w:p w14:paraId="5AEFD86E" w14:textId="77777777" w:rsidR="009A45B5" w:rsidRDefault="009A45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76C"/>
    <w:multiLevelType w:val="multilevel"/>
    <w:tmpl w:val="373428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545832"/>
    <w:multiLevelType w:val="hybridMultilevel"/>
    <w:tmpl w:val="EB72353C"/>
    <w:lvl w:ilvl="0" w:tplc="AB64A6E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616C4E"/>
    <w:multiLevelType w:val="hybridMultilevel"/>
    <w:tmpl w:val="63D2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66524"/>
    <w:multiLevelType w:val="hybridMultilevel"/>
    <w:tmpl w:val="A1E2DC92"/>
    <w:lvl w:ilvl="0" w:tplc="7B0E570A">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BE375C8"/>
    <w:multiLevelType w:val="hybridMultilevel"/>
    <w:tmpl w:val="79BCA6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74C50D11"/>
    <w:multiLevelType w:val="hybridMultilevel"/>
    <w:tmpl w:val="0194C1F4"/>
    <w:lvl w:ilvl="0" w:tplc="5DACFE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9603545"/>
    <w:multiLevelType w:val="hybridMultilevel"/>
    <w:tmpl w:val="CC94C692"/>
    <w:lvl w:ilvl="0" w:tplc="4FF028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81"/>
    <w:rsid w:val="000760BE"/>
    <w:rsid w:val="001445FB"/>
    <w:rsid w:val="00223FFF"/>
    <w:rsid w:val="002E7C27"/>
    <w:rsid w:val="00361127"/>
    <w:rsid w:val="00411865"/>
    <w:rsid w:val="00436BFC"/>
    <w:rsid w:val="004F6BF3"/>
    <w:rsid w:val="004F7965"/>
    <w:rsid w:val="005E1804"/>
    <w:rsid w:val="005F6CD8"/>
    <w:rsid w:val="00692B0E"/>
    <w:rsid w:val="007462F7"/>
    <w:rsid w:val="00792A09"/>
    <w:rsid w:val="0079413B"/>
    <w:rsid w:val="007F7695"/>
    <w:rsid w:val="008171EC"/>
    <w:rsid w:val="008D0136"/>
    <w:rsid w:val="009A45B5"/>
    <w:rsid w:val="009F161C"/>
    <w:rsid w:val="00A73D07"/>
    <w:rsid w:val="00A85ADD"/>
    <w:rsid w:val="00B50E4E"/>
    <w:rsid w:val="00B9066B"/>
    <w:rsid w:val="00BB5F2E"/>
    <w:rsid w:val="00BB7981"/>
    <w:rsid w:val="00C40566"/>
    <w:rsid w:val="00C851BA"/>
    <w:rsid w:val="00CC1713"/>
    <w:rsid w:val="00D02871"/>
    <w:rsid w:val="00D52C3C"/>
    <w:rsid w:val="00D654EE"/>
    <w:rsid w:val="00E36C83"/>
    <w:rsid w:val="00FB0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B419"/>
  <w15:docId w15:val="{27B03794-6981-4EEC-BD59-662C5A6E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hlav">
    <w:name w:val="header"/>
    <w:basedOn w:val="Normln"/>
    <w:link w:val="ZhlavChar"/>
    <w:uiPriority w:val="99"/>
    <w:unhideWhenUsed/>
    <w:rsid w:val="009A45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45B5"/>
  </w:style>
  <w:style w:type="paragraph" w:styleId="Zpat">
    <w:name w:val="footer"/>
    <w:basedOn w:val="Normln"/>
    <w:link w:val="ZpatChar"/>
    <w:uiPriority w:val="99"/>
    <w:unhideWhenUsed/>
    <w:rsid w:val="009A45B5"/>
    <w:pPr>
      <w:tabs>
        <w:tab w:val="center" w:pos="4536"/>
        <w:tab w:val="right" w:pos="9072"/>
      </w:tabs>
      <w:spacing w:after="0" w:line="240" w:lineRule="auto"/>
    </w:pPr>
  </w:style>
  <w:style w:type="character" w:customStyle="1" w:styleId="ZpatChar">
    <w:name w:val="Zápatí Char"/>
    <w:basedOn w:val="Standardnpsmoodstavce"/>
    <w:link w:val="Zpat"/>
    <w:uiPriority w:val="99"/>
    <w:rsid w:val="009A45B5"/>
  </w:style>
  <w:style w:type="character" w:styleId="Odkaznakoment">
    <w:name w:val="annotation reference"/>
    <w:basedOn w:val="Standardnpsmoodstavce"/>
    <w:uiPriority w:val="99"/>
    <w:semiHidden/>
    <w:unhideWhenUsed/>
    <w:rsid w:val="00D02871"/>
    <w:rPr>
      <w:sz w:val="16"/>
      <w:szCs w:val="16"/>
    </w:rPr>
  </w:style>
  <w:style w:type="paragraph" w:styleId="Textkomente">
    <w:name w:val="annotation text"/>
    <w:basedOn w:val="Normln"/>
    <w:link w:val="TextkomenteChar"/>
    <w:uiPriority w:val="99"/>
    <w:semiHidden/>
    <w:unhideWhenUsed/>
    <w:rsid w:val="00D02871"/>
    <w:pPr>
      <w:spacing w:line="240" w:lineRule="auto"/>
    </w:pPr>
    <w:rPr>
      <w:sz w:val="20"/>
      <w:szCs w:val="20"/>
    </w:rPr>
  </w:style>
  <w:style w:type="character" w:customStyle="1" w:styleId="TextkomenteChar">
    <w:name w:val="Text komentáře Char"/>
    <w:basedOn w:val="Standardnpsmoodstavce"/>
    <w:link w:val="Textkomente"/>
    <w:uiPriority w:val="99"/>
    <w:semiHidden/>
    <w:rsid w:val="00D02871"/>
    <w:rPr>
      <w:sz w:val="20"/>
      <w:szCs w:val="20"/>
    </w:rPr>
  </w:style>
  <w:style w:type="paragraph" w:styleId="Pedmtkomente">
    <w:name w:val="annotation subject"/>
    <w:basedOn w:val="Textkomente"/>
    <w:next w:val="Textkomente"/>
    <w:link w:val="PedmtkomenteChar"/>
    <w:uiPriority w:val="99"/>
    <w:semiHidden/>
    <w:unhideWhenUsed/>
    <w:rsid w:val="00D02871"/>
    <w:rPr>
      <w:b/>
      <w:bCs/>
    </w:rPr>
  </w:style>
  <w:style w:type="character" w:customStyle="1" w:styleId="PedmtkomenteChar">
    <w:name w:val="Předmět komentáře Char"/>
    <w:basedOn w:val="TextkomenteChar"/>
    <w:link w:val="Pedmtkomente"/>
    <w:uiPriority w:val="99"/>
    <w:semiHidden/>
    <w:rsid w:val="00D02871"/>
    <w:rPr>
      <w:b/>
      <w:bCs/>
      <w:sz w:val="20"/>
      <w:szCs w:val="20"/>
    </w:rPr>
  </w:style>
  <w:style w:type="paragraph" w:styleId="Revize">
    <w:name w:val="Revision"/>
    <w:hidden/>
    <w:uiPriority w:val="99"/>
    <w:semiHidden/>
    <w:rsid w:val="00C40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2960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Continental AG</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uidr9548</dc:creator>
  <cp:lastModifiedBy>Švábová Hana</cp:lastModifiedBy>
  <cp:revision>3</cp:revision>
  <dcterms:created xsi:type="dcterms:W3CDTF">2017-06-23T05:48:00Z</dcterms:created>
  <dcterms:modified xsi:type="dcterms:W3CDTF">2017-06-23T07:48:00Z</dcterms:modified>
</cp:coreProperties>
</file>