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23C8" w14:textId="77777777" w:rsidR="00CA0B1B" w:rsidRDefault="00CA0B1B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6C796DD8" w14:textId="77777777" w:rsidR="00CA0B1B" w:rsidRDefault="00CA0B1B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0977EE89" w14:textId="77777777" w:rsidR="00CA0B1B" w:rsidRDefault="0051491F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  <w:r>
        <w:rPr>
          <w:rFonts w:asciiTheme="minorHAnsi" w:hAnsiTheme="minorHAnsi" w:cs="Arial"/>
          <w:b/>
          <w:caps/>
          <w:sz w:val="40"/>
          <w:szCs w:val="40"/>
        </w:rPr>
        <w:t>TECHNICKá SPECIFIKACE</w:t>
      </w:r>
    </w:p>
    <w:p w14:paraId="5906A302" w14:textId="77777777" w:rsidR="00CA0B1B" w:rsidRDefault="00CA0B1B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6EA86821" w14:textId="77777777" w:rsidR="00CA0B1B" w:rsidRDefault="00CA0B1B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4DAFA31D" w14:textId="77777777" w:rsidR="00CA0B1B" w:rsidRDefault="00CA0B1B">
      <w:pPr>
        <w:jc w:val="center"/>
        <w:rPr>
          <w:rFonts w:asciiTheme="minorHAnsi" w:hAnsiTheme="minorHAnsi" w:cs="Arial"/>
          <w:b/>
          <w:caps/>
        </w:rPr>
      </w:pPr>
    </w:p>
    <w:p w14:paraId="66116361" w14:textId="77777777" w:rsidR="00CA0B1B" w:rsidRDefault="0051491F">
      <w:pPr>
        <w:jc w:val="center"/>
        <w:rPr>
          <w:rFonts w:asciiTheme="minorHAnsi" w:hAnsiTheme="minorHAnsi" w:cs="Arial"/>
          <w:b/>
          <w:snapToGrid w:val="0"/>
          <w:sz w:val="40"/>
          <w:szCs w:val="22"/>
          <w:lang w:eastAsia="en-US"/>
        </w:rPr>
      </w:pPr>
      <w:r>
        <w:rPr>
          <w:rFonts w:asciiTheme="minorHAnsi" w:hAnsiTheme="minorHAnsi" w:cs="Arial"/>
          <w:b/>
          <w:snapToGrid w:val="0"/>
          <w:sz w:val="40"/>
          <w:szCs w:val="22"/>
          <w:lang w:eastAsia="en-US"/>
        </w:rPr>
        <w:t>Klimatická komora</w:t>
      </w:r>
    </w:p>
    <w:p w14:paraId="441E63E5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5CEB11FF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411E3A41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3FADA88E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lang w:eastAsia="en-US"/>
        </w:rPr>
      </w:pPr>
    </w:p>
    <w:p w14:paraId="04281A5E" w14:textId="77777777" w:rsidR="00CA0B1B" w:rsidRDefault="00CA0B1B">
      <w:pPr>
        <w:pStyle w:val="Nadpis2"/>
        <w:ind w:left="360"/>
        <w:rPr>
          <w:rFonts w:asciiTheme="minorHAnsi" w:hAnsiTheme="minorHAnsi"/>
        </w:rPr>
      </w:pPr>
    </w:p>
    <w:p w14:paraId="11884644" w14:textId="77777777" w:rsidR="00CA0B1B" w:rsidRDefault="0051491F">
      <w:pPr>
        <w:pStyle w:val="Nadpisobsahu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Obsah</w:t>
      </w:r>
    </w:p>
    <w:p w14:paraId="33FC686F" w14:textId="77777777" w:rsidR="00CA0B1B" w:rsidRDefault="00CA0B1B">
      <w:pPr>
        <w:pStyle w:val="Nadpis2"/>
        <w:spacing w:line="360" w:lineRule="auto"/>
        <w:rPr>
          <w:rFonts w:asciiTheme="minorHAnsi" w:hAnsiTheme="minorHAnsi"/>
          <w:b w:val="0"/>
        </w:rPr>
      </w:pPr>
    </w:p>
    <w:p w14:paraId="753F39F8" w14:textId="77777777" w:rsidR="00CA0B1B" w:rsidRDefault="00CA0B1B">
      <w:pPr>
        <w:jc w:val="center"/>
        <w:rPr>
          <w:rFonts w:asciiTheme="minorHAnsi" w:hAnsiTheme="minorHAnsi"/>
        </w:rPr>
      </w:pPr>
    </w:p>
    <w:p w14:paraId="159FE285" w14:textId="77777777" w:rsidR="00CA0B1B" w:rsidRDefault="0051491F">
      <w:pPr>
        <w:pStyle w:val="Odstavecseseznamem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1.         Popis dodávky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1C1D2DF" w14:textId="77777777" w:rsidR="00CA0B1B" w:rsidRDefault="00CA0B1B">
      <w:pPr>
        <w:spacing w:line="360" w:lineRule="auto"/>
        <w:jc w:val="center"/>
        <w:rPr>
          <w:rFonts w:asciiTheme="minorHAnsi" w:hAnsiTheme="minorHAnsi"/>
        </w:rPr>
      </w:pPr>
    </w:p>
    <w:p w14:paraId="73C38495" w14:textId="77777777" w:rsidR="00CA0B1B" w:rsidRDefault="0051491F">
      <w:pPr>
        <w:pStyle w:val="Odstavecseseznamem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2.         Požadovaná dokumentace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EC24496" w14:textId="77777777" w:rsidR="00CA0B1B" w:rsidRDefault="0051491F">
      <w:pPr>
        <w:ind w:firstLine="708"/>
        <w:jc w:val="center"/>
        <w:rPr>
          <w:rStyle w:val="Nadpis2Char"/>
          <w:rFonts w:asciiTheme="minorHAnsi" w:hAnsiTheme="minorHAnsi"/>
          <w:b w:val="0"/>
          <w:lang w:val="cs-CZ"/>
        </w:rPr>
      </w:pPr>
      <w:r>
        <w:rPr>
          <w:rStyle w:val="Nadpis2Char"/>
          <w:rFonts w:asciiTheme="minorHAnsi" w:hAnsiTheme="minorHAnsi"/>
          <w:b w:val="0"/>
          <w:lang w:val="cs-CZ"/>
        </w:rPr>
        <w:tab/>
      </w:r>
      <w:r>
        <w:rPr>
          <w:rStyle w:val="Nadpis2Char"/>
          <w:rFonts w:asciiTheme="minorHAnsi" w:hAnsiTheme="minorHAnsi"/>
          <w:b w:val="0"/>
          <w:lang w:val="cs-CZ"/>
        </w:rPr>
        <w:tab/>
      </w:r>
    </w:p>
    <w:p w14:paraId="6DCDFD17" w14:textId="77777777" w:rsidR="00CA0B1B" w:rsidRDefault="00CA0B1B">
      <w:pPr>
        <w:ind w:firstLine="708"/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127349F4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6BE8CD03" w14:textId="77777777" w:rsidR="00CA0B1B" w:rsidRDefault="00CA0B1B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5D0DCED8" w14:textId="77777777" w:rsidR="00CA0B1B" w:rsidRDefault="00CA0B1B">
      <w:pPr>
        <w:rPr>
          <w:rFonts w:asciiTheme="minorHAnsi" w:hAnsiTheme="minorHAnsi"/>
        </w:rPr>
      </w:pPr>
    </w:p>
    <w:p w14:paraId="75C51DE4" w14:textId="77777777" w:rsidR="00CA0B1B" w:rsidRDefault="0051491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618A379" w14:textId="77777777" w:rsidR="00CA0B1B" w:rsidRDefault="0051491F">
      <w:pPr>
        <w:pStyle w:val="Nadpis2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/>
        </w:rPr>
      </w:pPr>
      <w:bookmarkStart w:id="0" w:name="_Toc402785029"/>
      <w:bookmarkStart w:id="1" w:name="_Toc325122672"/>
      <w:bookmarkStart w:id="2" w:name="_Toc325363687"/>
      <w:bookmarkStart w:id="3" w:name="_Toc325637761"/>
      <w:r>
        <w:rPr>
          <w:rFonts w:asciiTheme="minorHAnsi" w:hAnsiTheme="minorHAnsi"/>
        </w:rPr>
        <w:lastRenderedPageBreak/>
        <w:t>Popis dodávky</w:t>
      </w:r>
    </w:p>
    <w:p w14:paraId="1A442550" w14:textId="77777777" w:rsidR="00CA0B1B" w:rsidRDefault="0051491F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>Klimatická komora bude využívána k vývoji MAF senzorů, měření charakteristik MAF senzorů a pro jejich kalibraci. Klimatická komora bude provozována v kompetenčním centru Ostrava zadavatele, společnosti Continental Automotive Czech Republic s.r.o. Zadavatel</w:t>
      </w:r>
      <w:r>
        <w:rPr>
          <w:rFonts w:asciiTheme="minorHAnsi" w:hAnsiTheme="minorHAnsi" w:cs="Arial"/>
          <w:snapToGrid w:val="0"/>
          <w:szCs w:val="22"/>
          <w:lang w:eastAsia="en-US"/>
        </w:rPr>
        <w:t xml:space="preserve"> požaduje nabídku kompletního zařízení. Náklady spojené s dodávkou zařízení do lokace Ostrava musejí být součástí nabídky. Doprava a složení v místě určení budou provedeny dodavatelem a musí být součástí nabídky.</w:t>
      </w:r>
    </w:p>
    <w:p w14:paraId="4358250F" w14:textId="77777777" w:rsidR="00CA0B1B" w:rsidRDefault="00CA0B1B">
      <w:pPr>
        <w:ind w:left="426"/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279296BA" w14:textId="77777777" w:rsidR="00CA0B1B" w:rsidRDefault="0051491F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>Požadavky na klimatickou komoru</w:t>
      </w:r>
    </w:p>
    <w:p w14:paraId="3DAD3516" w14:textId="77777777" w:rsidR="00CA0B1B" w:rsidRDefault="00CA0B1B">
      <w:pPr>
        <w:ind w:left="567" w:hanging="567"/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38DA6CD4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Objem tes</w:t>
      </w:r>
      <w:r>
        <w:rPr>
          <w:rFonts w:asciiTheme="minorHAnsi" w:hAnsiTheme="minorHAnsi"/>
        </w:rPr>
        <w:t xml:space="preserve">tovacího prostoru </w:t>
      </w:r>
      <w:r>
        <w:rPr>
          <w:rFonts w:asciiTheme="minorHAnsi" w:hAnsiTheme="minorHAnsi"/>
          <w:b/>
        </w:rPr>
        <w:t>170-230 litrů</w:t>
      </w:r>
    </w:p>
    <w:p w14:paraId="2E8DC0B5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Teplotní rozsah: </w:t>
      </w:r>
      <w:r>
        <w:rPr>
          <w:rFonts w:asciiTheme="minorHAnsi" w:hAnsiTheme="minorHAnsi"/>
          <w:b/>
        </w:rPr>
        <w:t>+180 °C až -60 °C</w:t>
      </w:r>
      <w:r>
        <w:rPr>
          <w:rFonts w:asciiTheme="minorHAnsi" w:hAnsiTheme="minorHAnsi"/>
        </w:rPr>
        <w:t xml:space="preserve"> (nebo lepší)</w:t>
      </w:r>
    </w:p>
    <w:p w14:paraId="0F26A25E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Vlhkostní rozsah: </w:t>
      </w:r>
      <w:r>
        <w:rPr>
          <w:rFonts w:asciiTheme="minorHAnsi" w:hAnsiTheme="minorHAnsi"/>
          <w:b/>
        </w:rPr>
        <w:t>10 – 90% RH</w:t>
      </w:r>
      <w:r>
        <w:rPr>
          <w:rFonts w:asciiTheme="minorHAnsi" w:hAnsiTheme="minorHAnsi"/>
        </w:rPr>
        <w:t xml:space="preserve"> (nebo lepší)</w:t>
      </w:r>
    </w:p>
    <w:p w14:paraId="582FB5FB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Odchylka teploty časově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maximálně ± 0,5 K</w:t>
      </w:r>
    </w:p>
    <w:p w14:paraId="3965431D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Odchylka teploty prostorově: </w:t>
      </w:r>
      <w:r>
        <w:rPr>
          <w:rFonts w:asciiTheme="minorHAnsi" w:hAnsiTheme="minorHAnsi"/>
          <w:b/>
        </w:rPr>
        <w:t>maximálně ± 2,0 K</w:t>
      </w:r>
    </w:p>
    <w:p w14:paraId="7CCC7CB5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Materiál testovací komory – </w:t>
      </w:r>
      <w:r>
        <w:rPr>
          <w:rFonts w:asciiTheme="minorHAnsi" w:hAnsiTheme="minorHAnsi"/>
          <w:b/>
        </w:rPr>
        <w:t>nerezová ocel</w:t>
      </w:r>
    </w:p>
    <w:p w14:paraId="4BD92F67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6“ (nebo větší) dotykový barevný ovládací displej umístěný na čele komory, ovládání v češtině</w:t>
      </w:r>
    </w:p>
    <w:p w14:paraId="65FC61CD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Osvětlení testovacího prostoru</w:t>
      </w:r>
    </w:p>
    <w:p w14:paraId="1E40D815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Rychlost ohřevu v rozsahu od -40 °C do +85 °C dle IEC 60068-3-5: </w:t>
      </w:r>
      <w:r>
        <w:rPr>
          <w:rFonts w:asciiTheme="minorHAnsi" w:hAnsiTheme="minorHAnsi" w:cs="Arial"/>
          <w:b/>
        </w:rPr>
        <w:t>≥</w:t>
      </w:r>
      <w:r>
        <w:rPr>
          <w:rFonts w:asciiTheme="minorHAnsi" w:hAnsiTheme="minorHAnsi"/>
          <w:b/>
        </w:rPr>
        <w:t xml:space="preserve"> 3,8 K/min</w:t>
      </w:r>
    </w:p>
    <w:p w14:paraId="38AE529B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Rychlost chlazení v rozsahu od +85</w:t>
      </w:r>
      <w:r>
        <w:rPr>
          <w:rFonts w:asciiTheme="minorHAnsi" w:hAnsiTheme="minorHAnsi"/>
        </w:rPr>
        <w:t xml:space="preserve"> °C do -40 °C dle IEC 60068-3-5: </w:t>
      </w:r>
      <w:r>
        <w:rPr>
          <w:rFonts w:asciiTheme="minorHAnsi" w:hAnsiTheme="minorHAnsi" w:cs="Arial"/>
          <w:b/>
        </w:rPr>
        <w:t xml:space="preserve">≥ </w:t>
      </w:r>
      <w:r>
        <w:rPr>
          <w:rFonts w:asciiTheme="minorHAnsi" w:hAnsiTheme="minorHAnsi"/>
          <w:b/>
        </w:rPr>
        <w:t>2,8 K/min</w:t>
      </w:r>
    </w:p>
    <w:p w14:paraId="12A3C7E6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Minimálně 2 digitální vstupy a 2 digitální výstupy</w:t>
      </w:r>
    </w:p>
    <w:p w14:paraId="30386FE3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Minimálně 1 ks nerezových polic</w:t>
      </w:r>
    </w:p>
    <w:p w14:paraId="00292D30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Prosklené dveře s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</w:rPr>
        <w:t>oknem</w:t>
      </w:r>
      <w:r>
        <w:rPr>
          <w:rFonts w:asciiTheme="minorHAnsi" w:hAnsiTheme="minorHAnsi"/>
        </w:rPr>
        <w:t xml:space="preserve"> o rozměru</w:t>
      </w:r>
      <w:r>
        <w:rPr>
          <w:rFonts w:asciiTheme="minorHAnsi" w:hAnsiTheme="minorHAnsi"/>
        </w:rPr>
        <w:t xml:space="preserve"> min. </w:t>
      </w:r>
      <w:r>
        <w:rPr>
          <w:rFonts w:asciiTheme="minorHAnsi" w:hAnsiTheme="minorHAnsi"/>
          <w:b/>
        </w:rPr>
        <w:t>400 x 500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mm</w:t>
      </w:r>
    </w:p>
    <w:p w14:paraId="46B7361F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Notch port</w:t>
      </w:r>
      <w:r>
        <w:rPr>
          <w:rFonts w:asciiTheme="minorHAnsi" w:hAnsiTheme="minorHAnsi"/>
        </w:rPr>
        <w:t xml:space="preserve"> ve dveřích</w:t>
      </w:r>
    </w:p>
    <w:p w14:paraId="7DA41921" w14:textId="579F492D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Požadujeme celkem </w:t>
      </w:r>
      <w:r>
        <w:rPr>
          <w:rFonts w:asciiTheme="minorHAnsi" w:hAnsiTheme="minorHAnsi"/>
          <w:b/>
        </w:rPr>
        <w:t>6 průchodek</w:t>
      </w:r>
      <w:r>
        <w:rPr>
          <w:rFonts w:asciiTheme="minorHAnsi" w:hAnsiTheme="minorHAnsi"/>
        </w:rPr>
        <w:t xml:space="preserve"> – na levé straně L1, L2, L3 a na pravé straně R1, R2, R3. 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ozměry jsou:</w:t>
      </w:r>
    </w:p>
    <w:p w14:paraId="1B64F55C" w14:textId="77777777" w:rsidR="00CA0B1B" w:rsidRDefault="0051491F">
      <w:pPr>
        <w:pStyle w:val="Odstavecseseznamem"/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R1, R2, L2 = průměr 125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mm</w:t>
      </w:r>
    </w:p>
    <w:p w14:paraId="0B259355" w14:textId="77777777" w:rsidR="00CA0B1B" w:rsidRDefault="0051491F">
      <w:pPr>
        <w:pStyle w:val="Odstavecseseznamem"/>
        <w:numPr>
          <w:ilvl w:val="0"/>
          <w:numId w:val="39"/>
        </w:numPr>
        <w:ind w:left="1418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L1, R3, L3 = průměr 50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mm</w:t>
      </w:r>
    </w:p>
    <w:p w14:paraId="3B91CD3D" w14:textId="77777777" w:rsidR="00CA0B1B" w:rsidRDefault="0051491F">
      <w:pPr>
        <w:pStyle w:val="Odstavecseseznamem"/>
        <w:numPr>
          <w:ilvl w:val="0"/>
          <w:numId w:val="39"/>
        </w:numPr>
        <w:ind w:left="1418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6B8716B" wp14:editId="2CE3F302">
            <wp:simplePos x="0" y="0"/>
            <wp:positionH relativeFrom="column">
              <wp:posOffset>1207770</wp:posOffset>
            </wp:positionH>
            <wp:positionV relativeFrom="paragraph">
              <wp:posOffset>147320</wp:posOffset>
            </wp:positionV>
            <wp:extent cx="4156710" cy="2080260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Ke každé průchodce požadujeme dodání 1ks silikonové zátky a 1ks zátky se štěrbinou </w:t>
      </w:r>
    </w:p>
    <w:p w14:paraId="637B8130" w14:textId="77777777" w:rsidR="00CA0B1B" w:rsidRDefault="0051491F">
      <w:pPr>
        <w:pStyle w:val="Odstavecseseznamem"/>
        <w:numPr>
          <w:ilvl w:val="0"/>
          <w:numId w:val="39"/>
        </w:numPr>
        <w:ind w:left="1418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Umístění průchodek:</w:t>
      </w:r>
    </w:p>
    <w:p w14:paraId="1417FB16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77083D00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12192A2E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6A73DFE1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7A60AB47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6997BC40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7D1DCE05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7B758FCC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681A7A38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5ACFB2F3" w14:textId="77777777" w:rsidR="00CA0B1B" w:rsidRDefault="00CA0B1B">
      <w:pPr>
        <w:pStyle w:val="Odstavecseseznamem"/>
        <w:ind w:left="1418" w:hanging="425"/>
        <w:jc w:val="both"/>
        <w:rPr>
          <w:rFonts w:asciiTheme="minorHAnsi" w:hAnsiTheme="minorHAnsi"/>
        </w:rPr>
      </w:pPr>
    </w:p>
    <w:p w14:paraId="6D10F0BD" w14:textId="77777777" w:rsidR="00CA0B1B" w:rsidRDefault="00CA0B1B">
      <w:pPr>
        <w:pStyle w:val="Odstavecseseznamem"/>
        <w:ind w:left="1872"/>
        <w:jc w:val="both"/>
        <w:rPr>
          <w:rFonts w:asciiTheme="minorHAnsi" w:hAnsiTheme="minorHAnsi"/>
        </w:rPr>
      </w:pPr>
    </w:p>
    <w:p w14:paraId="3DF0620B" w14:textId="77777777" w:rsidR="00CA0B1B" w:rsidRDefault="00CA0B1B">
      <w:pPr>
        <w:pStyle w:val="Odstavecseseznamem"/>
        <w:ind w:left="1872"/>
        <w:jc w:val="both"/>
        <w:rPr>
          <w:rFonts w:asciiTheme="minorHAnsi" w:hAnsiTheme="minorHAnsi"/>
        </w:rPr>
      </w:pPr>
    </w:p>
    <w:p w14:paraId="49EE22AD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Rozhraní</w:t>
      </w:r>
      <w:r>
        <w:rPr>
          <w:rFonts w:asciiTheme="minorHAnsi" w:hAnsiTheme="minorHAnsi"/>
          <w:b/>
        </w:rPr>
        <w:t>: RS-232</w:t>
      </w:r>
      <w:r>
        <w:rPr>
          <w:rFonts w:asciiTheme="minorHAnsi" w:hAnsiTheme="minorHAnsi"/>
        </w:rPr>
        <w:t>, USB, Ethernet, GPIB</w:t>
      </w:r>
    </w:p>
    <w:p w14:paraId="4FB52927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Mobilní verze </w:t>
      </w:r>
      <w:r>
        <w:rPr>
          <w:rFonts w:asciiTheme="minorHAnsi" w:hAnsiTheme="minorHAnsi"/>
        </w:rPr>
        <w:t>komory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(na kolečkách)</w:t>
      </w:r>
    </w:p>
    <w:p w14:paraId="73F8A2FE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Nezávislý teplotní snímač na ochranu vzorku</w:t>
      </w:r>
    </w:p>
    <w:p w14:paraId="2491E4B5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Senzor pro měření teploty na vzorku – přepínatelný jako kontrolní senzor</w:t>
      </w:r>
    </w:p>
    <w:p w14:paraId="0BFFC61B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Rosný bod až </w:t>
      </w:r>
      <w:r>
        <w:rPr>
          <w:rFonts w:asciiTheme="minorHAnsi" w:hAnsiTheme="minorHAnsi"/>
          <w:b/>
        </w:rPr>
        <w:t>-20°C</w:t>
      </w:r>
      <w:r>
        <w:rPr>
          <w:rFonts w:asciiTheme="minorHAnsi" w:hAnsiTheme="minorHAnsi"/>
        </w:rPr>
        <w:t xml:space="preserve"> regulovaný, až </w:t>
      </w:r>
      <w:r>
        <w:rPr>
          <w:rFonts w:asciiTheme="minorHAnsi" w:hAnsiTheme="minorHAnsi"/>
          <w:b/>
        </w:rPr>
        <w:t xml:space="preserve">-30°C </w:t>
      </w:r>
      <w:r>
        <w:rPr>
          <w:rFonts w:asciiTheme="minorHAnsi" w:hAnsiTheme="minorHAnsi"/>
        </w:rPr>
        <w:t>neregulovaný s „</w:t>
      </w:r>
      <w:r>
        <w:rPr>
          <w:rFonts w:asciiTheme="minorHAnsi" w:hAnsiTheme="minorHAnsi"/>
          <w:b/>
        </w:rPr>
        <w:t>compressed air dryer</w:t>
      </w:r>
      <w:r>
        <w:rPr>
          <w:rFonts w:asciiTheme="minorHAnsi" w:hAnsiTheme="minorHAnsi"/>
        </w:rPr>
        <w:t xml:space="preserve">“ s </w:t>
      </w:r>
      <w:r>
        <w:rPr>
          <w:rFonts w:asciiTheme="minorHAnsi" w:hAnsiTheme="minorHAnsi"/>
          <w:b/>
        </w:rPr>
        <w:t>kapacitním senzorem vlhkosti</w:t>
      </w:r>
    </w:p>
    <w:p w14:paraId="6E5F9ED2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Software pro dálkové ovládání komory (spouštění a vypínání komory, možnost vytváření teplotních a vlhkostních profilů, monitor běhu komor, upozorňování na poruchy – e-mailem) v češtině. Požadujeme 1 lice</w:t>
      </w:r>
      <w:r>
        <w:rPr>
          <w:rFonts w:asciiTheme="minorHAnsi" w:hAnsiTheme="minorHAnsi"/>
        </w:rPr>
        <w:t>nci SW</w:t>
      </w:r>
      <w:r>
        <w:rPr>
          <w:rFonts w:asciiTheme="minorHAnsi" w:hAnsiTheme="minorHAnsi"/>
        </w:rPr>
        <w:t>, pokud je relevantní</w:t>
      </w:r>
      <w:r>
        <w:rPr>
          <w:rFonts w:asciiTheme="minorHAnsi" w:hAnsiTheme="minorHAnsi"/>
        </w:rPr>
        <w:t>.</w:t>
      </w:r>
    </w:p>
    <w:p w14:paraId="655CD426" w14:textId="77777777" w:rsidR="00CA0B1B" w:rsidRDefault="0051491F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Kalibrace teploty ve 2 bodech z výroby</w:t>
      </w:r>
      <w:r>
        <w:rPr>
          <w:rFonts w:asciiTheme="minorHAnsi" w:hAnsiTheme="minorHAnsi"/>
        </w:rPr>
        <w:t>.</w:t>
      </w:r>
    </w:p>
    <w:bookmarkEnd w:id="0"/>
    <w:bookmarkEnd w:id="1"/>
    <w:bookmarkEnd w:id="2"/>
    <w:bookmarkEnd w:id="3"/>
    <w:p w14:paraId="3543AB5E" w14:textId="77777777" w:rsidR="00CA0B1B" w:rsidRDefault="00CA0B1B">
      <w:pPr>
        <w:jc w:val="both"/>
        <w:rPr>
          <w:rFonts w:asciiTheme="minorHAnsi" w:hAnsiTheme="minorHAnsi" w:cs="Arial"/>
        </w:rPr>
      </w:pPr>
    </w:p>
    <w:p w14:paraId="00120EC4" w14:textId="77777777" w:rsidR="00CA0B1B" w:rsidRDefault="0051491F">
      <w:pPr>
        <w:jc w:val="both"/>
        <w:rPr>
          <w:rStyle w:val="Nadpis2Char"/>
          <w:rFonts w:asciiTheme="minorHAnsi" w:hAnsiTheme="minorHAnsi"/>
          <w:lang w:val="cs-CZ"/>
        </w:rPr>
      </w:pPr>
      <w:bookmarkStart w:id="4" w:name="_Toc402785040"/>
      <w:r>
        <w:rPr>
          <w:rStyle w:val="Nadpis2Char"/>
          <w:rFonts w:asciiTheme="minorHAnsi" w:hAnsiTheme="minorHAnsi"/>
          <w:lang w:val="cs-CZ"/>
        </w:rPr>
        <w:t>Požadovaná dokumentace</w:t>
      </w:r>
      <w:bookmarkEnd w:id="4"/>
    </w:p>
    <w:p w14:paraId="4FCD31F8" w14:textId="77777777" w:rsidR="00CA0B1B" w:rsidRDefault="00CA0B1B">
      <w:pPr>
        <w:jc w:val="both"/>
        <w:rPr>
          <w:rFonts w:asciiTheme="minorHAnsi" w:hAnsiTheme="minorHAnsi"/>
          <w:highlight w:val="yellow"/>
        </w:rPr>
      </w:pPr>
    </w:p>
    <w:p w14:paraId="0E02DCDA" w14:textId="77777777" w:rsidR="00CA0B1B" w:rsidRDefault="0051491F">
      <w:pPr>
        <w:pStyle w:val="Odstavecseseznamem"/>
        <w:numPr>
          <w:ilvl w:val="0"/>
          <w:numId w:val="37"/>
        </w:numPr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prohlášení o shodě</w:t>
      </w:r>
      <w:bookmarkStart w:id="5" w:name="_GoBack"/>
      <w:bookmarkEnd w:id="5"/>
    </w:p>
    <w:p w14:paraId="1EDF4B93" w14:textId="77777777" w:rsidR="00CA0B1B" w:rsidRDefault="0051491F">
      <w:pPr>
        <w:pStyle w:val="Odstavecseseznamem"/>
        <w:numPr>
          <w:ilvl w:val="0"/>
          <w:numId w:val="37"/>
        </w:numPr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Návod k obsluze</w:t>
      </w:r>
    </w:p>
    <w:p w14:paraId="7762F89A" w14:textId="77777777" w:rsidR="00CA0B1B" w:rsidRDefault="0051491F">
      <w:pPr>
        <w:pStyle w:val="Odstavecseseznamem"/>
        <w:numPr>
          <w:ilvl w:val="0"/>
          <w:numId w:val="37"/>
        </w:numPr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Výchozí revizní zpráva</w:t>
      </w:r>
    </w:p>
    <w:p w14:paraId="2AE8209C" w14:textId="77777777" w:rsidR="00CA0B1B" w:rsidRDefault="0051491F">
      <w:pPr>
        <w:pStyle w:val="Odstavecseseznamem"/>
        <w:numPr>
          <w:ilvl w:val="0"/>
          <w:numId w:val="37"/>
        </w:numPr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Hodnocení bezpečnostních rizik zapracované do formuláře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Posouzení bezpečnosti zařízení, který tvoří přílohu A Technické specifikace </w:t>
      </w:r>
    </w:p>
    <w:p w14:paraId="2637D378" w14:textId="77777777" w:rsidR="00CA0B1B" w:rsidRDefault="00CA0B1B">
      <w:pPr>
        <w:jc w:val="both"/>
        <w:rPr>
          <w:rFonts w:asciiTheme="minorHAnsi" w:hAnsiTheme="minorHAnsi"/>
          <w:highlight w:val="yellow"/>
        </w:rPr>
      </w:pPr>
    </w:p>
    <w:sectPr w:rsidR="00CA0B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164B" w14:textId="77777777" w:rsidR="00CA0B1B" w:rsidRDefault="0051491F">
      <w:r>
        <w:separator/>
      </w:r>
    </w:p>
  </w:endnote>
  <w:endnote w:type="continuationSeparator" w:id="0">
    <w:p w14:paraId="326E741E" w14:textId="77777777" w:rsidR="00CA0B1B" w:rsidRDefault="0051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EABF" w14:textId="77777777" w:rsidR="00CA0B1B" w:rsidRDefault="0051491F">
    <w:pPr>
      <w:pStyle w:val="Zpat"/>
      <w:pBdr>
        <w:top w:val="single" w:sz="6" w:space="3" w:color="808080"/>
      </w:pBdr>
      <w:tabs>
        <w:tab w:val="clear" w:pos="4536"/>
        <w:tab w:val="clear" w:pos="9072"/>
      </w:tabs>
      <w:spacing w:before="240"/>
      <w:jc w:val="right"/>
      <w:rPr>
        <w:sz w:val="18"/>
      </w:rPr>
    </w:pPr>
    <w:r>
      <w:rPr>
        <w:color w:val="808080"/>
        <w:sz w:val="18"/>
      </w:rPr>
      <w:t>Strana</w:t>
    </w:r>
    <w:r>
      <w:rPr>
        <w:snapToGrid w:val="0"/>
        <w:color w:val="808080"/>
        <w:sz w:val="18"/>
      </w:rPr>
      <w:t xml:space="preserve"> </w:t>
    </w:r>
    <w:r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>
      <w:rPr>
        <w:snapToGrid w:val="0"/>
        <w:color w:val="808080"/>
        <w:sz w:val="18"/>
      </w:rPr>
      <w:fldChar w:fldCharType="separate"/>
    </w:r>
    <w:r>
      <w:rPr>
        <w:noProof/>
        <w:snapToGrid w:val="0"/>
        <w:color w:val="808080"/>
        <w:sz w:val="18"/>
      </w:rPr>
      <w:t>3</w:t>
    </w:r>
    <w:r>
      <w:rPr>
        <w:snapToGrid w:val="0"/>
        <w:color w:val="808080"/>
        <w:sz w:val="18"/>
      </w:rPr>
      <w:fldChar w:fldCharType="end"/>
    </w:r>
    <w:r>
      <w:rPr>
        <w:snapToGrid w:val="0"/>
        <w:color w:val="808080"/>
        <w:sz w:val="18"/>
      </w:rPr>
      <w:t xml:space="preserve"> ze </w:t>
    </w:r>
    <w:r>
      <w:rPr>
        <w:rStyle w:val="slostrnky"/>
        <w:color w:val="808080"/>
        <w:sz w:val="18"/>
      </w:rPr>
      <w:fldChar w:fldCharType="begin"/>
    </w:r>
    <w:r>
      <w:rPr>
        <w:rStyle w:val="slostrnky"/>
        <w:color w:val="808080"/>
        <w:sz w:val="18"/>
      </w:rPr>
      <w:instrText xml:space="preserve"> NUMPAGES </w:instrText>
    </w:r>
    <w:r>
      <w:rPr>
        <w:rStyle w:val="slostrnky"/>
        <w:color w:val="808080"/>
        <w:sz w:val="18"/>
      </w:rPr>
      <w:fldChar w:fldCharType="separate"/>
    </w:r>
    <w:r>
      <w:rPr>
        <w:rStyle w:val="slostrnky"/>
        <w:noProof/>
        <w:color w:val="808080"/>
        <w:sz w:val="18"/>
      </w:rPr>
      <w:t>3</w:t>
    </w:r>
    <w:r>
      <w:rPr>
        <w:rStyle w:val="slostrnky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BBEBB" w14:textId="77777777" w:rsidR="00CA0B1B" w:rsidRDefault="0051491F">
      <w:r>
        <w:separator/>
      </w:r>
    </w:p>
  </w:footnote>
  <w:footnote w:type="continuationSeparator" w:id="0">
    <w:p w14:paraId="4A1B0B1D" w14:textId="77777777" w:rsidR="00CA0B1B" w:rsidRDefault="0051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0"/>
      <w:gridCol w:w="2907"/>
    </w:tblGrid>
    <w:tr w:rsidR="00CA0B1B" w14:paraId="32829E98" w14:textId="77777777">
      <w:trPr>
        <w:cantSplit/>
        <w:trHeight w:val="970"/>
      </w:trPr>
      <w:tc>
        <w:tcPr>
          <w:tcW w:w="336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1DAE7BE" w14:textId="77777777" w:rsidR="00CA0B1B" w:rsidRDefault="0051491F">
          <w:pPr>
            <w:pStyle w:val="Zhlav"/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technická specifikace</w:t>
          </w:r>
        </w:p>
      </w:tc>
      <w:tc>
        <w:tcPr>
          <w:tcW w:w="16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F9280F" w14:textId="77777777" w:rsidR="00CA0B1B" w:rsidRDefault="0051491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227E2EA" wp14:editId="3F38ED3F">
                <wp:extent cx="1762125" cy="476250"/>
                <wp:effectExtent l="19050" t="0" r="9525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0AEA36" w14:textId="77777777" w:rsidR="00CA0B1B" w:rsidRDefault="00CA0B1B">
    <w:pPr>
      <w:pStyle w:val="Zhlav"/>
      <w:tabs>
        <w:tab w:val="clear" w:pos="4536"/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E1F54"/>
    <w:multiLevelType w:val="hybridMultilevel"/>
    <w:tmpl w:val="2968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418"/>
    <w:multiLevelType w:val="hybridMultilevel"/>
    <w:tmpl w:val="D9CE6ED6"/>
    <w:lvl w:ilvl="0" w:tplc="8D9037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AC1EE4"/>
    <w:multiLevelType w:val="hybridMultilevel"/>
    <w:tmpl w:val="924A9CAE"/>
    <w:lvl w:ilvl="0" w:tplc="6388E2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04"/>
    <w:multiLevelType w:val="hybridMultilevel"/>
    <w:tmpl w:val="F70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48A2"/>
    <w:multiLevelType w:val="hybridMultilevel"/>
    <w:tmpl w:val="5EE4E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C39"/>
    <w:multiLevelType w:val="hybridMultilevel"/>
    <w:tmpl w:val="8CC27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02A7"/>
    <w:multiLevelType w:val="hybridMultilevel"/>
    <w:tmpl w:val="C5C48400"/>
    <w:lvl w:ilvl="0" w:tplc="9210EA12">
      <w:start w:val="1"/>
      <w:numFmt w:val="upperLetter"/>
      <w:pStyle w:val="Appendix"/>
      <w:lvlText w:val="%1."/>
      <w:lvlJc w:val="left"/>
      <w:pPr>
        <w:ind w:left="1080" w:hanging="360"/>
      </w:pPr>
    </w:lvl>
    <w:lvl w:ilvl="1" w:tplc="3E0CB0FE" w:tentative="1">
      <w:start w:val="1"/>
      <w:numFmt w:val="lowerLetter"/>
      <w:lvlText w:val="%2."/>
      <w:lvlJc w:val="left"/>
      <w:pPr>
        <w:ind w:left="1800" w:hanging="360"/>
      </w:pPr>
    </w:lvl>
    <w:lvl w:ilvl="2" w:tplc="A78C56F4" w:tentative="1">
      <w:start w:val="1"/>
      <w:numFmt w:val="lowerRoman"/>
      <w:lvlText w:val="%3."/>
      <w:lvlJc w:val="right"/>
      <w:pPr>
        <w:ind w:left="2520" w:hanging="180"/>
      </w:pPr>
    </w:lvl>
    <w:lvl w:ilvl="3" w:tplc="3AAAFFA6" w:tentative="1">
      <w:start w:val="1"/>
      <w:numFmt w:val="decimal"/>
      <w:lvlText w:val="%4."/>
      <w:lvlJc w:val="left"/>
      <w:pPr>
        <w:ind w:left="3240" w:hanging="360"/>
      </w:pPr>
    </w:lvl>
    <w:lvl w:ilvl="4" w:tplc="41D056AE" w:tentative="1">
      <w:start w:val="1"/>
      <w:numFmt w:val="lowerLetter"/>
      <w:lvlText w:val="%5."/>
      <w:lvlJc w:val="left"/>
      <w:pPr>
        <w:ind w:left="3960" w:hanging="360"/>
      </w:pPr>
    </w:lvl>
    <w:lvl w:ilvl="5" w:tplc="CAD6F8E6" w:tentative="1">
      <w:start w:val="1"/>
      <w:numFmt w:val="lowerRoman"/>
      <w:lvlText w:val="%6."/>
      <w:lvlJc w:val="right"/>
      <w:pPr>
        <w:ind w:left="4680" w:hanging="180"/>
      </w:pPr>
    </w:lvl>
    <w:lvl w:ilvl="6" w:tplc="46AE0CC2" w:tentative="1">
      <w:start w:val="1"/>
      <w:numFmt w:val="decimal"/>
      <w:lvlText w:val="%7."/>
      <w:lvlJc w:val="left"/>
      <w:pPr>
        <w:ind w:left="5400" w:hanging="360"/>
      </w:pPr>
    </w:lvl>
    <w:lvl w:ilvl="7" w:tplc="B7FCE510" w:tentative="1">
      <w:start w:val="1"/>
      <w:numFmt w:val="lowerLetter"/>
      <w:lvlText w:val="%8."/>
      <w:lvlJc w:val="left"/>
      <w:pPr>
        <w:ind w:left="6120" w:hanging="360"/>
      </w:pPr>
    </w:lvl>
    <w:lvl w:ilvl="8" w:tplc="59CED1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0325B"/>
    <w:multiLevelType w:val="multilevel"/>
    <w:tmpl w:val="06CCFC36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199D478C"/>
    <w:multiLevelType w:val="hybridMultilevel"/>
    <w:tmpl w:val="1E9468A8"/>
    <w:lvl w:ilvl="0" w:tplc="D132F49A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F203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E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E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09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62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A1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04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90891"/>
    <w:multiLevelType w:val="hybridMultilevel"/>
    <w:tmpl w:val="97CE6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3025A"/>
    <w:multiLevelType w:val="hybridMultilevel"/>
    <w:tmpl w:val="24064BAE"/>
    <w:lvl w:ilvl="0" w:tplc="97FAC79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A52C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81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0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3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D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C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E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22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19C"/>
    <w:multiLevelType w:val="hybridMultilevel"/>
    <w:tmpl w:val="61406E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6732A"/>
    <w:multiLevelType w:val="hybridMultilevel"/>
    <w:tmpl w:val="88E05E6E"/>
    <w:lvl w:ilvl="0" w:tplc="0405000F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35C2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563C5"/>
    <w:multiLevelType w:val="hybridMultilevel"/>
    <w:tmpl w:val="B6520E60"/>
    <w:lvl w:ilvl="0" w:tplc="0409000B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86C7A"/>
    <w:multiLevelType w:val="hybridMultilevel"/>
    <w:tmpl w:val="EADA4818"/>
    <w:lvl w:ilvl="0" w:tplc="4C607130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12B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4B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C0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21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6B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83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866B4"/>
    <w:multiLevelType w:val="hybridMultilevel"/>
    <w:tmpl w:val="A8E25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199"/>
    <w:multiLevelType w:val="hybridMultilevel"/>
    <w:tmpl w:val="B066A9C8"/>
    <w:lvl w:ilvl="0" w:tplc="64908736">
      <w:numFmt w:val="bullet"/>
      <w:lvlText w:val="-"/>
      <w:lvlJc w:val="left"/>
      <w:pPr>
        <w:ind w:left="18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333068BA"/>
    <w:multiLevelType w:val="hybridMultilevel"/>
    <w:tmpl w:val="004A986A"/>
    <w:lvl w:ilvl="0" w:tplc="A862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9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2E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4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00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C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8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A6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850AD"/>
    <w:multiLevelType w:val="hybridMultilevel"/>
    <w:tmpl w:val="27C05AA6"/>
    <w:lvl w:ilvl="0" w:tplc="B6AA41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EF0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2600E4"/>
    <w:multiLevelType w:val="hybridMultilevel"/>
    <w:tmpl w:val="CA3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7A17"/>
    <w:multiLevelType w:val="hybridMultilevel"/>
    <w:tmpl w:val="8CC27D88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410AF"/>
    <w:multiLevelType w:val="hybridMultilevel"/>
    <w:tmpl w:val="82AED790"/>
    <w:lvl w:ilvl="0" w:tplc="0405000F">
      <w:start w:val="1"/>
      <w:numFmt w:val="decimal"/>
      <w:pStyle w:val="Reference"/>
      <w:lvlText w:val="[REF %1]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57E814ED"/>
    <w:multiLevelType w:val="hybridMultilevel"/>
    <w:tmpl w:val="F552FBE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8601D0A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611693"/>
    <w:multiLevelType w:val="hybridMultilevel"/>
    <w:tmpl w:val="B700EB7A"/>
    <w:lvl w:ilvl="0" w:tplc="7736C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377CA"/>
    <w:multiLevelType w:val="hybridMultilevel"/>
    <w:tmpl w:val="C98A579A"/>
    <w:lvl w:ilvl="0" w:tplc="218C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3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3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F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4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8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A7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7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85117"/>
    <w:multiLevelType w:val="hybridMultilevel"/>
    <w:tmpl w:val="353A6AEC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1" w15:restartNumberingAfterBreak="0">
    <w:nsid w:val="629A7565"/>
    <w:multiLevelType w:val="hybridMultilevel"/>
    <w:tmpl w:val="F3EEB43A"/>
    <w:lvl w:ilvl="0" w:tplc="F9327FDC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F1741"/>
    <w:multiLevelType w:val="hybridMultilevel"/>
    <w:tmpl w:val="22EADE7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F2F72"/>
    <w:multiLevelType w:val="hybridMultilevel"/>
    <w:tmpl w:val="675A3CF4"/>
    <w:lvl w:ilvl="0" w:tplc="04090001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086601"/>
    <w:multiLevelType w:val="hybridMultilevel"/>
    <w:tmpl w:val="111CB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86B4A"/>
    <w:multiLevelType w:val="hybridMultilevel"/>
    <w:tmpl w:val="31EEC16A"/>
    <w:lvl w:ilvl="0" w:tplc="75EC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2C3F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B95048"/>
    <w:multiLevelType w:val="hybridMultilevel"/>
    <w:tmpl w:val="4D0A05F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CC85C44"/>
    <w:multiLevelType w:val="hybridMultilevel"/>
    <w:tmpl w:val="F0C08044"/>
    <w:lvl w:ilvl="0" w:tplc="40404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5C8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8F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B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7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2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8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8D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3"/>
  </w:num>
  <w:num w:numId="4">
    <w:abstractNumId w:val="15"/>
  </w:num>
  <w:num w:numId="5">
    <w:abstractNumId w:val="0"/>
  </w:num>
  <w:num w:numId="6">
    <w:abstractNumId w:val="25"/>
  </w:num>
  <w:num w:numId="7">
    <w:abstractNumId w:val="32"/>
  </w:num>
  <w:num w:numId="8">
    <w:abstractNumId w:val="9"/>
  </w:num>
  <w:num w:numId="9">
    <w:abstractNumId w:val="31"/>
  </w:num>
  <w:num w:numId="10">
    <w:abstractNumId w:val="5"/>
  </w:num>
  <w:num w:numId="11">
    <w:abstractNumId w:val="17"/>
  </w:num>
  <w:num w:numId="12">
    <w:abstractNumId w:val="20"/>
  </w:num>
  <w:num w:numId="13">
    <w:abstractNumId w:val="38"/>
  </w:num>
  <w:num w:numId="14">
    <w:abstractNumId w:val="24"/>
  </w:num>
  <w:num w:numId="15">
    <w:abstractNumId w:val="11"/>
  </w:num>
  <w:num w:numId="16">
    <w:abstractNumId w:val="13"/>
  </w:num>
  <w:num w:numId="17">
    <w:abstractNumId w:val="29"/>
  </w:num>
  <w:num w:numId="18">
    <w:abstractNumId w:val="1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23"/>
  </w:num>
  <w:num w:numId="24">
    <w:abstractNumId w:val="28"/>
  </w:num>
  <w:num w:numId="25">
    <w:abstractNumId w:val="21"/>
  </w:num>
  <w:num w:numId="26">
    <w:abstractNumId w:val="10"/>
  </w:num>
  <w:num w:numId="27">
    <w:abstractNumId w:val="12"/>
  </w:num>
  <w:num w:numId="28">
    <w:abstractNumId w:val="26"/>
  </w:num>
  <w:num w:numId="29">
    <w:abstractNumId w:val="14"/>
  </w:num>
  <w:num w:numId="30">
    <w:abstractNumId w:val="34"/>
  </w:num>
  <w:num w:numId="31">
    <w:abstractNumId w:val="30"/>
  </w:num>
  <w:num w:numId="32">
    <w:abstractNumId w:val="22"/>
  </w:num>
  <w:num w:numId="33">
    <w:abstractNumId w:val="27"/>
  </w:num>
  <w:num w:numId="34">
    <w:abstractNumId w:val="18"/>
  </w:num>
  <w:num w:numId="35">
    <w:abstractNumId w:val="8"/>
  </w:num>
  <w:num w:numId="36">
    <w:abstractNumId w:val="35"/>
  </w:num>
  <w:num w:numId="37">
    <w:abstractNumId w:val="16"/>
  </w:num>
  <w:num w:numId="38">
    <w:abstractNumId w:val="37"/>
  </w:num>
  <w:num w:numId="3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B"/>
    <w:rsid w:val="004318DA"/>
    <w:rsid w:val="0051491F"/>
    <w:rsid w:val="00C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C7044B2"/>
  <w15:docId w15:val="{710517FF-7954-4539-B7A8-D81B26B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Times New Roman" w:hAnsi="Arial"/>
      <w:sz w:val="22"/>
      <w:lang w:eastAsia="de-DE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autoRedefine/>
    <w:qFormat/>
    <w:pPr>
      <w:keepNext/>
      <w:tabs>
        <w:tab w:val="num" w:pos="-1701"/>
      </w:tabs>
      <w:spacing w:before="120" w:after="60"/>
      <w:ind w:left="851" w:right="57" w:firstLine="142"/>
      <w:jc w:val="both"/>
      <w:outlineLvl w:val="3"/>
    </w:pPr>
    <w:rPr>
      <w:b/>
      <w:color w:val="000000"/>
      <w:sz w:val="20"/>
      <w:lang w:val="en-US" w:eastAsia="ko-KR"/>
    </w:rPr>
  </w:style>
  <w:style w:type="paragraph" w:styleId="Nadpis5">
    <w:name w:val="heading 5"/>
    <w:basedOn w:val="Normln"/>
    <w:next w:val="Normln"/>
    <w:link w:val="Nadpis5Char"/>
    <w:qFormat/>
    <w:pPr>
      <w:tabs>
        <w:tab w:val="num" w:pos="1008"/>
      </w:tabs>
      <w:spacing w:before="240" w:after="60"/>
      <w:ind w:left="1008" w:right="57" w:hanging="1008"/>
      <w:jc w:val="both"/>
      <w:outlineLvl w:val="4"/>
    </w:pPr>
    <w:rPr>
      <w:lang w:val="en-US" w:eastAsia="en-US"/>
    </w:rPr>
  </w:style>
  <w:style w:type="paragraph" w:styleId="Nadpis6">
    <w:name w:val="heading 6"/>
    <w:basedOn w:val="Normln"/>
    <w:next w:val="Normln"/>
    <w:link w:val="Nadpis6Char"/>
    <w:qFormat/>
    <w:pPr>
      <w:tabs>
        <w:tab w:val="num" w:pos="1152"/>
      </w:tabs>
      <w:spacing w:before="240" w:after="60"/>
      <w:ind w:left="1152" w:right="57" w:hanging="1152"/>
      <w:jc w:val="both"/>
      <w:outlineLvl w:val="5"/>
    </w:pPr>
    <w:rPr>
      <w:i/>
      <w:lang w:val="en-US" w:eastAsia="en-US"/>
    </w:rPr>
  </w:style>
  <w:style w:type="paragraph" w:styleId="Nadpis7">
    <w:name w:val="heading 7"/>
    <w:aliases w:val="Nicht Benutzen !!"/>
    <w:basedOn w:val="Normln"/>
    <w:next w:val="Normln"/>
    <w:link w:val="Nadpis7Char"/>
    <w:qFormat/>
    <w:pPr>
      <w:tabs>
        <w:tab w:val="num" w:pos="1296"/>
      </w:tabs>
      <w:spacing w:before="240" w:after="60"/>
      <w:ind w:left="1296" w:right="57" w:hanging="1296"/>
      <w:jc w:val="both"/>
      <w:outlineLvl w:val="6"/>
    </w:pPr>
    <w:rPr>
      <w:sz w:val="20"/>
      <w:lang w:val="en-US" w:eastAsia="en-US"/>
    </w:rPr>
  </w:style>
  <w:style w:type="paragraph" w:styleId="Nadpis8">
    <w:name w:val="heading 8"/>
    <w:aliases w:val="Nicht Benutzen !"/>
    <w:basedOn w:val="Normln"/>
    <w:next w:val="Normln"/>
    <w:link w:val="Nadpis8Char"/>
    <w:qFormat/>
    <w:pPr>
      <w:tabs>
        <w:tab w:val="num" w:pos="1440"/>
      </w:tabs>
      <w:spacing w:before="240" w:after="60"/>
      <w:ind w:left="1440" w:right="57" w:hanging="1440"/>
      <w:jc w:val="both"/>
      <w:outlineLvl w:val="7"/>
    </w:pPr>
    <w:rPr>
      <w:i/>
      <w:sz w:val="20"/>
      <w:lang w:val="en-US" w:eastAsia="en-US"/>
    </w:rPr>
  </w:style>
  <w:style w:type="paragraph" w:styleId="Nadpis9">
    <w:name w:val="heading 9"/>
    <w:aliases w:val="Nicht Benutzen"/>
    <w:basedOn w:val="Normln"/>
    <w:next w:val="Normln"/>
    <w:link w:val="Nadpis9Char"/>
    <w:qFormat/>
    <w:pPr>
      <w:tabs>
        <w:tab w:val="num" w:pos="1584"/>
      </w:tabs>
      <w:spacing w:before="240" w:after="60"/>
      <w:ind w:left="1584" w:right="57" w:hanging="1584"/>
      <w:jc w:val="both"/>
      <w:outlineLvl w:val="8"/>
    </w:pPr>
    <w:rPr>
      <w:b/>
      <w:i/>
      <w:sz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dpis3Char">
    <w:name w:val="Nadpis 3 Char"/>
    <w:basedOn w:val="Standardnpsmoodstavce"/>
    <w:link w:val="Nadpis3"/>
    <w:rPr>
      <w:rFonts w:ascii="Cambria" w:eastAsia="Times New Roman" w:hAnsi="Cambria" w:cs="Times New Roman"/>
      <w:b/>
      <w:bCs/>
      <w:color w:val="4F81BD"/>
      <w:szCs w:val="20"/>
      <w:lang w:val="de-DE" w:eastAsia="de-DE"/>
    </w:rPr>
  </w:style>
  <w:style w:type="character" w:customStyle="1" w:styleId="Nadpis4Char">
    <w:name w:val="Nadpis 4 Char"/>
    <w:basedOn w:val="Standardnpsmoodstavce"/>
    <w:link w:val="Nadpis4"/>
    <w:rPr>
      <w:rFonts w:ascii="Arial" w:eastAsia="Times New Roman" w:hAnsi="Arial"/>
      <w:b/>
      <w:color w:val="000000"/>
      <w:lang w:val="en-US" w:eastAsia="ko-KR"/>
    </w:rPr>
  </w:style>
  <w:style w:type="character" w:customStyle="1" w:styleId="Nadpis5Char">
    <w:name w:val="Nadpis 5 Char"/>
    <w:basedOn w:val="Standardnpsmoodstavce"/>
    <w:link w:val="Nadpis5"/>
    <w:rPr>
      <w:rFonts w:ascii="Arial" w:eastAsia="Times New Roman" w:hAnsi="Arial"/>
      <w:sz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rPr>
      <w:rFonts w:ascii="Arial" w:eastAsia="Times New Roman" w:hAnsi="Arial"/>
      <w:i/>
      <w:sz w:val="22"/>
      <w:lang w:val="en-US" w:eastAsia="en-US"/>
    </w:rPr>
  </w:style>
  <w:style w:type="character" w:customStyle="1" w:styleId="Nadpis7Char">
    <w:name w:val="Nadpis 7 Char"/>
    <w:aliases w:val="Nicht Benutzen !! Char"/>
    <w:basedOn w:val="Standardnpsmoodstavce"/>
    <w:link w:val="Nadpis7"/>
    <w:rPr>
      <w:rFonts w:ascii="Arial" w:eastAsia="Times New Roman" w:hAnsi="Arial"/>
      <w:lang w:val="en-US" w:eastAsia="en-US"/>
    </w:rPr>
  </w:style>
  <w:style w:type="character" w:customStyle="1" w:styleId="Nadpis8Char">
    <w:name w:val="Nadpis 8 Char"/>
    <w:aliases w:val="Nicht Benutzen ! Char"/>
    <w:basedOn w:val="Standardnpsmoodstavce"/>
    <w:link w:val="Nadpis8"/>
    <w:rPr>
      <w:rFonts w:ascii="Arial" w:eastAsia="Times New Roman" w:hAnsi="Arial"/>
      <w:i/>
      <w:lang w:val="en-US" w:eastAsia="en-US"/>
    </w:rPr>
  </w:style>
  <w:style w:type="character" w:customStyle="1" w:styleId="Nadpis9Char">
    <w:name w:val="Nadpis 9 Char"/>
    <w:aliases w:val="Nicht Benutzen Char"/>
    <w:basedOn w:val="Standardnpsmoodstavce"/>
    <w:link w:val="Nadpis9"/>
    <w:rPr>
      <w:rFonts w:ascii="Arial" w:eastAsia="Times New Roman" w:hAnsi="Arial"/>
      <w:b/>
      <w:i/>
      <w:sz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0"/>
      <w:lang w:val="de-DE" w:eastAsia="de-DE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eastAsia="Times New Roman" w:hAnsi="Arial" w:cs="Times New Roman"/>
      <w:szCs w:val="20"/>
      <w:lang w:val="de-DE" w:eastAsia="de-DE"/>
    </w:r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character" w:styleId="Siln">
    <w:name w:val="Strong"/>
    <w:basedOn w:val="Standardnpsmoodstavce"/>
    <w:qFormat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</w:style>
  <w:style w:type="paragraph" w:styleId="Obsah3">
    <w:name w:val="toc 3"/>
    <w:basedOn w:val="Normln"/>
    <w:next w:val="Normln"/>
    <w:autoRedefine/>
    <w:uiPriority w:val="39"/>
    <w:unhideWhenUsed/>
    <w:pPr>
      <w:ind w:left="440"/>
    </w:pPr>
  </w:style>
  <w:style w:type="paragraph" w:styleId="Nzev">
    <w:name w:val="Title"/>
    <w:basedOn w:val="Normln"/>
    <w:next w:val="Normln"/>
    <w:link w:val="NzevChar"/>
    <w:qFormat/>
    <w:pPr>
      <w:spacing w:before="240" w:after="60"/>
      <w:ind w:left="357" w:right="57"/>
      <w:jc w:val="center"/>
    </w:pPr>
    <w:rPr>
      <w:b/>
      <w:kern w:val="28"/>
      <w:sz w:val="40"/>
      <w:lang w:val="en-GB" w:eastAsia="en-US"/>
    </w:rPr>
  </w:style>
  <w:style w:type="character" w:customStyle="1" w:styleId="NzevChar">
    <w:name w:val="Název Char"/>
    <w:basedOn w:val="Standardnpsmoodstavce"/>
    <w:link w:val="Nzev"/>
    <w:rPr>
      <w:rFonts w:ascii="Arial" w:eastAsia="Times New Roman" w:hAnsi="Arial"/>
      <w:b/>
      <w:kern w:val="28"/>
      <w:sz w:val="40"/>
      <w:lang w:val="en-GB" w:eastAsia="en-US"/>
    </w:rPr>
  </w:style>
  <w:style w:type="paragraph" w:styleId="Textkomente">
    <w:name w:val="annotation text"/>
    <w:basedOn w:val="Normln"/>
    <w:link w:val="TextkomenteChar"/>
    <w:semiHidden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Arial" w:eastAsia="Times New Roman" w:hAnsi="Arial"/>
      <w:lang w:val="en-US" w:eastAsia="en-US"/>
    </w:rPr>
  </w:style>
  <w:style w:type="paragraph" w:customStyle="1" w:styleId="Copyright">
    <w:name w:val="Copyright"/>
    <w:basedOn w:val="Normln"/>
    <w:pPr>
      <w:spacing w:after="60"/>
      <w:ind w:right="57"/>
      <w:jc w:val="both"/>
    </w:pPr>
    <w:rPr>
      <w:rFonts w:ascii="Arial Narrow" w:hAnsi="Arial Narrow"/>
      <w:b/>
      <w:sz w:val="16"/>
      <w:lang w:val="en-GB" w:eastAsia="en-US"/>
    </w:rPr>
  </w:style>
  <w:style w:type="paragraph" w:styleId="Podtitul">
    <w:name w:val="Subtitle"/>
    <w:basedOn w:val="Normln"/>
    <w:link w:val="PodtitulChar"/>
    <w:qFormat/>
    <w:pPr>
      <w:spacing w:before="240" w:after="240"/>
      <w:ind w:right="57"/>
    </w:pPr>
    <w:rPr>
      <w:b/>
      <w:sz w:val="28"/>
      <w:lang w:val="en-US" w:eastAsia="en-US"/>
    </w:rPr>
  </w:style>
  <w:style w:type="character" w:customStyle="1" w:styleId="PodtitulChar">
    <w:name w:val="Podtitul Char"/>
    <w:basedOn w:val="Standardnpsmoodstavce"/>
    <w:link w:val="Podtitul"/>
    <w:rPr>
      <w:rFonts w:ascii="Arial" w:eastAsia="Times New Roman" w:hAnsi="Arial"/>
      <w:b/>
      <w:sz w:val="28"/>
      <w:lang w:val="en-US" w:eastAsia="en-US"/>
    </w:rPr>
  </w:style>
  <w:style w:type="paragraph" w:styleId="Titulek">
    <w:name w:val="caption"/>
    <w:basedOn w:val="Normln"/>
    <w:next w:val="Normln"/>
    <w:link w:val="TitulekChar"/>
    <w:qFormat/>
    <w:pPr>
      <w:spacing w:before="120" w:after="120"/>
      <w:ind w:right="57"/>
      <w:jc w:val="center"/>
    </w:pPr>
    <w:rPr>
      <w:b/>
      <w:bCs/>
      <w:sz w:val="20"/>
      <w:lang w:val="en-US" w:eastAsia="en-US"/>
    </w:rPr>
  </w:style>
  <w:style w:type="character" w:customStyle="1" w:styleId="TitulekChar">
    <w:name w:val="Titulek Char"/>
    <w:basedOn w:val="Standardnpsmoodstavce"/>
    <w:link w:val="Titulek"/>
    <w:rPr>
      <w:rFonts w:ascii="Arial" w:eastAsia="Times New Roman" w:hAnsi="Arial"/>
      <w:b/>
      <w:bCs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eastAsia="Times New Roman" w:hAnsi="Arial"/>
      <w:b/>
      <w:bCs/>
      <w:lang w:val="en-US" w:eastAsia="en-US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  <w:spacing w:after="60"/>
      <w:ind w:right="57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Rejstk1">
    <w:name w:val="index 1"/>
    <w:basedOn w:val="Normln"/>
    <w:next w:val="Normln"/>
    <w:autoRedefine/>
    <w:semiHidden/>
    <w:pPr>
      <w:spacing w:after="60"/>
      <w:ind w:left="200" w:right="57" w:hanging="200"/>
      <w:jc w:val="both"/>
    </w:pPr>
    <w:rPr>
      <w:sz w:val="20"/>
      <w:lang w:val="en-US" w:eastAsia="en-US"/>
    </w:rPr>
  </w:style>
  <w:style w:type="paragraph" w:styleId="Seznam">
    <w:name w:val="List"/>
    <w:basedOn w:val="Normln"/>
    <w:pPr>
      <w:spacing w:after="60"/>
      <w:ind w:left="283" w:right="57" w:hanging="283"/>
      <w:jc w:val="both"/>
    </w:pPr>
    <w:rPr>
      <w:sz w:val="20"/>
      <w:lang w:val="en-US" w:eastAsia="en-US"/>
    </w:rPr>
  </w:style>
  <w:style w:type="paragraph" w:styleId="Seznam2">
    <w:name w:val="List 2"/>
    <w:basedOn w:val="Normln"/>
    <w:pPr>
      <w:spacing w:after="60"/>
      <w:ind w:left="566" w:right="57" w:hanging="283"/>
      <w:jc w:val="both"/>
    </w:pPr>
    <w:rPr>
      <w:sz w:val="20"/>
      <w:lang w:val="en-US" w:eastAsia="en-US"/>
    </w:rPr>
  </w:style>
  <w:style w:type="paragraph" w:styleId="Seznam3">
    <w:name w:val="List 3"/>
    <w:basedOn w:val="Normln"/>
    <w:pPr>
      <w:spacing w:after="60"/>
      <w:ind w:left="849" w:right="57" w:hanging="283"/>
      <w:jc w:val="both"/>
    </w:pPr>
    <w:rPr>
      <w:sz w:val="20"/>
      <w:lang w:val="en-US" w:eastAsia="en-US"/>
    </w:rPr>
  </w:style>
  <w:style w:type="paragraph" w:styleId="Seznam4">
    <w:name w:val="List 4"/>
    <w:basedOn w:val="Normln"/>
    <w:pPr>
      <w:spacing w:after="60"/>
      <w:ind w:left="1132" w:right="57" w:hanging="283"/>
      <w:jc w:val="both"/>
    </w:pPr>
    <w:rPr>
      <w:sz w:val="20"/>
      <w:lang w:val="en-US" w:eastAsia="en-US"/>
    </w:rPr>
  </w:style>
  <w:style w:type="paragraph" w:styleId="Seznam5">
    <w:name w:val="List 5"/>
    <w:basedOn w:val="Normln"/>
    <w:pPr>
      <w:spacing w:after="60"/>
      <w:ind w:left="1415" w:right="57" w:hanging="283"/>
      <w:jc w:val="both"/>
    </w:pPr>
    <w:rPr>
      <w:sz w:val="20"/>
      <w:lang w:val="en-US" w:eastAsia="en-US"/>
    </w:rPr>
  </w:style>
  <w:style w:type="paragraph" w:styleId="Seznamsodrkami">
    <w:name w:val="List Bullet"/>
    <w:basedOn w:val="Normln"/>
    <w:pPr>
      <w:tabs>
        <w:tab w:val="num" w:pos="360"/>
      </w:tabs>
      <w:spacing w:after="60"/>
      <w:ind w:left="360" w:right="57" w:hanging="360"/>
      <w:jc w:val="both"/>
    </w:pPr>
    <w:rPr>
      <w:sz w:val="20"/>
      <w:lang w:val="en-US" w:eastAsia="en-US"/>
    </w:rPr>
  </w:style>
  <w:style w:type="paragraph" w:styleId="Seznamsodrkami2">
    <w:name w:val="List Bullet 2"/>
    <w:basedOn w:val="Normln"/>
    <w:pPr>
      <w:tabs>
        <w:tab w:val="num" w:pos="643"/>
      </w:tabs>
      <w:spacing w:after="60"/>
      <w:ind w:left="643" w:right="57" w:hanging="360"/>
      <w:jc w:val="both"/>
    </w:pPr>
    <w:rPr>
      <w:sz w:val="20"/>
      <w:lang w:val="en-US" w:eastAsia="en-US"/>
    </w:rPr>
  </w:style>
  <w:style w:type="paragraph" w:styleId="Seznamsodrkami3">
    <w:name w:val="List Bullet 3"/>
    <w:basedOn w:val="Normln"/>
    <w:pPr>
      <w:tabs>
        <w:tab w:val="num" w:pos="926"/>
      </w:tabs>
      <w:spacing w:after="60"/>
      <w:ind w:left="926" w:right="57" w:hanging="360"/>
      <w:jc w:val="both"/>
    </w:pPr>
    <w:rPr>
      <w:sz w:val="20"/>
      <w:lang w:val="en-US" w:eastAsia="en-US"/>
    </w:rPr>
  </w:style>
  <w:style w:type="paragraph" w:styleId="Seznamsodrkami4">
    <w:name w:val="List Bullet 4"/>
    <w:basedOn w:val="Normln"/>
    <w:pPr>
      <w:tabs>
        <w:tab w:val="num" w:pos="1209"/>
      </w:tabs>
      <w:spacing w:after="60"/>
      <w:ind w:left="1209" w:right="57" w:hanging="360"/>
      <w:jc w:val="both"/>
    </w:pPr>
    <w:rPr>
      <w:sz w:val="20"/>
      <w:lang w:val="en-US" w:eastAsia="en-US"/>
    </w:rPr>
  </w:style>
  <w:style w:type="paragraph" w:styleId="Seznamsodrkami5">
    <w:name w:val="List Bullet 5"/>
    <w:basedOn w:val="Normln"/>
    <w:pPr>
      <w:tabs>
        <w:tab w:val="num" w:pos="1492"/>
      </w:tabs>
      <w:spacing w:after="60"/>
      <w:ind w:left="1492" w:right="57" w:hanging="360"/>
      <w:jc w:val="both"/>
    </w:pPr>
    <w:rPr>
      <w:sz w:val="20"/>
      <w:lang w:val="en-US" w:eastAsia="en-US"/>
    </w:rPr>
  </w:style>
  <w:style w:type="paragraph" w:styleId="Pokraovnseznamu">
    <w:name w:val="List Continue"/>
    <w:basedOn w:val="Normln"/>
    <w:pPr>
      <w:spacing w:after="120"/>
      <w:ind w:left="283" w:right="57"/>
      <w:jc w:val="both"/>
    </w:pPr>
    <w:rPr>
      <w:sz w:val="20"/>
      <w:lang w:val="en-US" w:eastAsia="en-US"/>
    </w:rPr>
  </w:style>
  <w:style w:type="paragraph" w:styleId="Pokraovnseznamu2">
    <w:name w:val="List Continue 2"/>
    <w:basedOn w:val="Normln"/>
    <w:pPr>
      <w:spacing w:after="120"/>
      <w:ind w:left="566" w:right="57"/>
      <w:jc w:val="both"/>
    </w:pPr>
    <w:rPr>
      <w:sz w:val="20"/>
      <w:lang w:val="en-US" w:eastAsia="en-US"/>
    </w:rPr>
  </w:style>
  <w:style w:type="paragraph" w:styleId="Pokraovnseznamu3">
    <w:name w:val="List Continue 3"/>
    <w:basedOn w:val="Normln"/>
    <w:pPr>
      <w:spacing w:after="120"/>
      <w:ind w:left="849" w:right="57"/>
      <w:jc w:val="both"/>
    </w:pPr>
    <w:rPr>
      <w:sz w:val="20"/>
      <w:lang w:val="en-US" w:eastAsia="en-US"/>
    </w:rPr>
  </w:style>
  <w:style w:type="paragraph" w:styleId="Pokraovnseznamu4">
    <w:name w:val="List Continue 4"/>
    <w:basedOn w:val="Normln"/>
    <w:pPr>
      <w:spacing w:after="120"/>
      <w:ind w:left="1132" w:right="57"/>
      <w:jc w:val="both"/>
    </w:pPr>
    <w:rPr>
      <w:sz w:val="20"/>
      <w:lang w:val="en-US" w:eastAsia="en-US"/>
    </w:rPr>
  </w:style>
  <w:style w:type="paragraph" w:styleId="Pokraovnseznamu5">
    <w:name w:val="List Continue 5"/>
    <w:basedOn w:val="Normln"/>
    <w:pPr>
      <w:spacing w:after="120"/>
      <w:ind w:left="1415" w:right="57"/>
      <w:jc w:val="both"/>
    </w:pPr>
    <w:rPr>
      <w:sz w:val="20"/>
      <w:lang w:val="en-US" w:eastAsia="en-US"/>
    </w:rPr>
  </w:style>
  <w:style w:type="paragraph" w:styleId="Nadpispoznmky">
    <w:name w:val="Note Heading"/>
    <w:basedOn w:val="Normln"/>
    <w:next w:val="Normln"/>
    <w:link w:val="NadpispoznmkyChar"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NadpispoznmkyChar">
    <w:name w:val="Nadpis poznámky Char"/>
    <w:basedOn w:val="Standardnpsmoodstavce"/>
    <w:link w:val="Nadpispoznmky"/>
    <w:rPr>
      <w:rFonts w:ascii="Arial" w:eastAsia="Times New Roman" w:hAnsi="Arial"/>
      <w:lang w:val="en-US" w:eastAsia="en-US"/>
    </w:rPr>
  </w:style>
  <w:style w:type="paragraph" w:styleId="Obsah4">
    <w:name w:val="toc 4"/>
    <w:basedOn w:val="Normln"/>
    <w:next w:val="Normln"/>
    <w:autoRedefine/>
    <w:semiHidden/>
    <w:pPr>
      <w:ind w:left="601" w:right="57"/>
      <w:jc w:val="both"/>
    </w:pPr>
    <w:rPr>
      <w:sz w:val="20"/>
      <w:lang w:val="en-US" w:eastAsia="en-US"/>
    </w:rPr>
  </w:style>
  <w:style w:type="paragraph" w:customStyle="1" w:styleId="Aufzhlung1">
    <w:name w:val="Aufzählung_1"/>
    <w:basedOn w:val="Normln"/>
    <w:pPr>
      <w:tabs>
        <w:tab w:val="num" w:pos="720"/>
      </w:tabs>
      <w:spacing w:after="60"/>
      <w:ind w:left="624" w:right="284" w:hanging="360"/>
    </w:pPr>
    <w:rPr>
      <w:sz w:val="20"/>
      <w:lang w:val="en-US" w:eastAsia="en-US"/>
    </w:rPr>
  </w:style>
  <w:style w:type="paragraph" w:customStyle="1" w:styleId="Reference">
    <w:name w:val="Reference"/>
    <w:basedOn w:val="Normln"/>
    <w:next w:val="Normln"/>
    <w:pPr>
      <w:numPr>
        <w:numId w:val="6"/>
      </w:numPr>
      <w:tabs>
        <w:tab w:val="clear" w:pos="180"/>
        <w:tab w:val="left" w:pos="1418"/>
      </w:tabs>
      <w:spacing w:before="120" w:after="120"/>
      <w:ind w:left="1599" w:hanging="181"/>
    </w:pPr>
    <w:rPr>
      <w:bCs/>
      <w:sz w:val="20"/>
      <w:lang w:val="en-US" w:eastAsia="en-US"/>
    </w:rPr>
  </w:style>
  <w:style w:type="paragraph" w:customStyle="1" w:styleId="Appendix">
    <w:name w:val="Appendix"/>
    <w:basedOn w:val="Nadpis1"/>
    <w:next w:val="Normln"/>
    <w:pPr>
      <w:keepLines w:val="0"/>
      <w:pageBreakBefore/>
      <w:numPr>
        <w:numId w:val="20"/>
      </w:numPr>
      <w:tabs>
        <w:tab w:val="left" w:pos="567"/>
      </w:tabs>
      <w:spacing w:before="240" w:after="180"/>
      <w:ind w:right="113"/>
    </w:pPr>
    <w:rPr>
      <w:rFonts w:ascii="Times New Roman" w:hAnsi="Times New Roman"/>
      <w:bCs w:val="0"/>
      <w:color w:val="auto"/>
      <w:kern w:val="28"/>
      <w:sz w:val="36"/>
      <w:szCs w:val="24"/>
      <w:lang w:val="en-US" w:eastAsia="en-US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ands">
    <w:name w:val="Commands"/>
    <w:basedOn w:val="Normln"/>
    <w:link w:val="CommandsZchn"/>
    <w:pPr>
      <w:ind w:right="57"/>
    </w:pPr>
    <w:rPr>
      <w:b/>
      <w:color w:val="0000FF"/>
      <w:sz w:val="18"/>
      <w:lang w:val="en-US" w:eastAsia="en-US"/>
    </w:rPr>
  </w:style>
  <w:style w:type="character" w:customStyle="1" w:styleId="CommandsZchn">
    <w:name w:val="Commands Zchn"/>
    <w:basedOn w:val="Standardnpsmoodstavce"/>
    <w:link w:val="Commands"/>
    <w:rPr>
      <w:rFonts w:ascii="Arial" w:eastAsia="Times New Roman" w:hAnsi="Arial"/>
      <w:b/>
      <w:color w:val="0000FF"/>
      <w:sz w:val="18"/>
      <w:lang w:val="en-US" w:eastAsia="en-US"/>
    </w:rPr>
  </w:style>
  <w:style w:type="paragraph" w:customStyle="1" w:styleId="Responsible">
    <w:name w:val="Responsible"/>
    <w:basedOn w:val="Normln"/>
    <w:next w:val="Normln"/>
    <w:link w:val="ResponsibleZchn"/>
    <w:pPr>
      <w:spacing w:after="60"/>
      <w:ind w:right="57"/>
      <w:jc w:val="both"/>
    </w:pPr>
    <w:rPr>
      <w:color w:val="008000"/>
      <w:sz w:val="20"/>
      <w:lang w:val="es-ES" w:eastAsia="en-US"/>
    </w:rPr>
  </w:style>
  <w:style w:type="character" w:customStyle="1" w:styleId="ResponsibleZchn">
    <w:name w:val="Responsible Zchn"/>
    <w:basedOn w:val="Standardnpsmoodstavce"/>
    <w:link w:val="Responsible"/>
    <w:rPr>
      <w:rFonts w:ascii="Arial" w:eastAsia="Times New Roman" w:hAnsi="Arial"/>
      <w:color w:val="008000"/>
      <w:lang w:val="es-ES" w:eastAsia="en-US"/>
    </w:rPr>
  </w:style>
  <w:style w:type="paragraph" w:customStyle="1" w:styleId="Picture">
    <w:name w:val="Picture"/>
    <w:basedOn w:val="Normln"/>
    <w:next w:val="Normln"/>
    <w:link w:val="PictureZchn"/>
    <w:pPr>
      <w:spacing w:after="60"/>
      <w:ind w:right="57"/>
      <w:jc w:val="center"/>
    </w:pPr>
    <w:rPr>
      <w:sz w:val="20"/>
      <w:lang w:val="en-US" w:eastAsia="en-US"/>
    </w:rPr>
  </w:style>
  <w:style w:type="character" w:customStyle="1" w:styleId="PictureZchn">
    <w:name w:val="Picture Zchn"/>
    <w:basedOn w:val="Standardnpsmoodstavce"/>
    <w:link w:val="Picture"/>
    <w:rPr>
      <w:rFonts w:ascii="Arial" w:eastAsia="Times New Roman" w:hAnsi="Arial"/>
      <w:lang w:val="en-US" w:eastAsia="en-US"/>
    </w:rPr>
  </w:style>
  <w:style w:type="paragraph" w:styleId="Seznamobrzk">
    <w:name w:val="table of figures"/>
    <w:basedOn w:val="Normln"/>
    <w:next w:val="Normln"/>
    <w:semiHidden/>
    <w:pPr>
      <w:spacing w:after="60"/>
      <w:ind w:right="57"/>
      <w:jc w:val="both"/>
    </w:pPr>
    <w:rPr>
      <w:sz w:val="20"/>
      <w:lang w:val="en-US" w:eastAsia="en-US"/>
    </w:rPr>
  </w:style>
  <w:style w:type="paragraph" w:customStyle="1" w:styleId="Caption1">
    <w:name w:val="Caption1"/>
    <w:basedOn w:val="Normln"/>
    <w:pPr>
      <w:spacing w:after="60"/>
      <w:ind w:right="57"/>
      <w:jc w:val="center"/>
    </w:pPr>
    <w:rPr>
      <w:sz w:val="18"/>
      <w:szCs w:val="18"/>
      <w:lang w:val="en-US" w:eastAsia="en-US"/>
    </w:rPr>
  </w:style>
  <w:style w:type="table" w:styleId="Mkatabulky">
    <w:name w:val="Table Grid"/>
    <w:aliases w:val="Tabellengitternetz Kopf"/>
    <w:basedOn w:val="Normlntabulka"/>
    <w:uiPriority w:val="59"/>
    <w:pPr>
      <w:spacing w:after="60"/>
      <w:ind w:right="5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pPr>
      <w:spacing w:after="120"/>
      <w:ind w:right="57"/>
      <w:jc w:val="both"/>
    </w:pPr>
    <w:rPr>
      <w:sz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/>
      <w:lang w:val="en-US" w:eastAsia="en-US"/>
    </w:rPr>
  </w:style>
  <w:style w:type="paragraph" w:styleId="Prosttext">
    <w:name w:val="Plain Text"/>
    <w:basedOn w:val="Normln"/>
    <w:link w:val="ProsttextChar"/>
    <w:rPr>
      <w:rFonts w:ascii="Courier New" w:hAnsi="Courier New" w:cs="Courier New"/>
      <w:sz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Pr>
      <w:rFonts w:ascii="Courier New" w:eastAsia="Times New Roman" w:hAnsi="Courier New" w:cs="Courier New"/>
      <w:lang w:val="en-US" w:eastAsia="en-US"/>
    </w:rPr>
  </w:style>
  <w:style w:type="paragraph" w:customStyle="1" w:styleId="TestDescription">
    <w:name w:val="TestDescription"/>
    <w:basedOn w:val="Normln"/>
    <w:pPr>
      <w:spacing w:after="60"/>
      <w:ind w:right="57"/>
    </w:pPr>
    <w:rPr>
      <w:sz w:val="18"/>
      <w:szCs w:val="18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2F527-098D-4B72-A87C-31E4D1DB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2436</CharactersWithSpaces>
  <SharedDoc>false</SharedDoc>
  <HLinks>
    <vt:vector size="108" baseType="variant"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_Toc325637778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_Toc325637777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_Toc325637776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_Toc325637775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_Toc325637774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_Toc325637773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_Toc325637772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_Toc325637771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_Toc325637770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_Toc325637769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_Toc325637768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_Toc325637767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_Toc325637766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_Toc325637765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_Toc325637764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_Toc325637763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_Toc325637762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_Toc325637761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uida4619</dc:creator>
  <cp:lastModifiedBy>Hujová Anna</cp:lastModifiedBy>
  <cp:revision>3</cp:revision>
  <cp:lastPrinted>2014-10-14T12:08:00Z</cp:lastPrinted>
  <dcterms:created xsi:type="dcterms:W3CDTF">2016-05-17T12:39:00Z</dcterms:created>
  <dcterms:modified xsi:type="dcterms:W3CDTF">2016-05-17T12:41:00Z</dcterms:modified>
</cp:coreProperties>
</file>