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D04" w:rsidRDefault="00D76D04" w:rsidP="00D76D04">
      <w:r w:rsidRPr="007364AC">
        <w:t>Příloha zadávací dokumentace č. 3:</w:t>
      </w:r>
    </w:p>
    <w:p w:rsidR="00D76D04" w:rsidRPr="00490282" w:rsidRDefault="00D76D04" w:rsidP="00D76D04">
      <w:pPr>
        <w:rPr>
          <w:b/>
          <w:sz w:val="16"/>
          <w:szCs w:val="16"/>
        </w:rPr>
      </w:pPr>
    </w:p>
    <w:p w:rsidR="00A362C6" w:rsidRDefault="00A362C6" w:rsidP="00D76D04">
      <w:pPr>
        <w:rPr>
          <w:b/>
          <w:sz w:val="28"/>
          <w:szCs w:val="28"/>
        </w:rPr>
      </w:pPr>
    </w:p>
    <w:p w:rsidR="00D76D04" w:rsidRPr="00366F3F" w:rsidRDefault="00D76D04" w:rsidP="00D76D04">
      <w:pPr>
        <w:rPr>
          <w:b/>
          <w:sz w:val="28"/>
          <w:szCs w:val="28"/>
        </w:rPr>
      </w:pPr>
      <w:r w:rsidRPr="00366F3F">
        <w:rPr>
          <w:b/>
          <w:sz w:val="28"/>
          <w:szCs w:val="28"/>
        </w:rPr>
        <w:t>Technická specifikace</w:t>
      </w:r>
    </w:p>
    <w:p w:rsidR="00D76D04" w:rsidRPr="00366F3F" w:rsidRDefault="00D76D04" w:rsidP="00D76D04">
      <w:pPr>
        <w:rPr>
          <w:b/>
          <w:sz w:val="16"/>
          <w:szCs w:val="16"/>
        </w:rPr>
      </w:pPr>
    </w:p>
    <w:p w:rsidR="00D76D04" w:rsidRDefault="00D76D04" w:rsidP="00D76D04">
      <w:pPr>
        <w:overflowPunct w:val="0"/>
        <w:autoSpaceDE w:val="0"/>
        <w:autoSpaceDN w:val="0"/>
        <w:adjustRightInd w:val="0"/>
        <w:spacing w:before="0" w:after="0"/>
        <w:textAlignment w:val="baseline"/>
        <w:rPr>
          <w:b/>
          <w:bCs/>
          <w:sz w:val="24"/>
        </w:rPr>
      </w:pPr>
      <w:r w:rsidRPr="0011024C">
        <w:rPr>
          <w:b/>
          <w:bCs/>
          <w:sz w:val="24"/>
        </w:rPr>
        <w:t xml:space="preserve">Výběrové řízení </w:t>
      </w:r>
      <w:r w:rsidRPr="00A40C7D">
        <w:rPr>
          <w:b/>
          <w:bCs/>
          <w:sz w:val="24"/>
        </w:rPr>
        <w:t xml:space="preserve">na dodavatele nábytku  </w:t>
      </w:r>
      <w:r>
        <w:rPr>
          <w:b/>
          <w:bCs/>
          <w:sz w:val="24"/>
        </w:rPr>
        <w:t>I</w:t>
      </w:r>
    </w:p>
    <w:p w:rsidR="00A362C6" w:rsidRPr="00625058" w:rsidRDefault="00A362C6" w:rsidP="00D76D04">
      <w:pPr>
        <w:overflowPunct w:val="0"/>
        <w:autoSpaceDE w:val="0"/>
        <w:autoSpaceDN w:val="0"/>
        <w:adjustRightInd w:val="0"/>
        <w:spacing w:before="0" w:after="0"/>
        <w:textAlignment w:val="baseline"/>
        <w:rPr>
          <w:rFonts w:cs="Tahoma,Bold"/>
          <w:b/>
          <w:bCs/>
          <w:sz w:val="24"/>
          <w:highlight w:val="yellow"/>
        </w:rPr>
      </w:pPr>
    </w:p>
    <w:p w:rsidR="00D76D04" w:rsidRDefault="00D76D04" w:rsidP="00D76D04">
      <w:pPr>
        <w:rPr>
          <w:b/>
        </w:rPr>
      </w:pPr>
    </w:p>
    <w:p w:rsidR="00D76D04" w:rsidRDefault="00D76D04" w:rsidP="00D76D04">
      <w:pPr>
        <w:pStyle w:val="Standard"/>
        <w:rPr>
          <w:rFonts w:hint="eastAsia"/>
          <w:b/>
          <w:bCs/>
          <w:sz w:val="28"/>
          <w:szCs w:val="28"/>
        </w:rPr>
      </w:pPr>
    </w:p>
    <w:p w:rsidR="00D76D04" w:rsidRPr="00D76D04" w:rsidRDefault="00D76D04" w:rsidP="00A362C6">
      <w:pPr>
        <w:pStyle w:val="Standard"/>
        <w:numPr>
          <w:ilvl w:val="0"/>
          <w:numId w:val="27"/>
        </w:numPr>
        <w:jc w:val="both"/>
        <w:rPr>
          <w:rFonts w:ascii="COMTES FHT Standard" w:hAnsi="COMTES FHT Standard"/>
          <w:b/>
          <w:bCs/>
          <w:sz w:val="28"/>
          <w:szCs w:val="28"/>
        </w:rPr>
      </w:pPr>
      <w:r w:rsidRPr="00D76D04">
        <w:rPr>
          <w:rFonts w:ascii="COMTES FHT Standard" w:hAnsi="COMTES FHT Standard"/>
          <w:b/>
          <w:bCs/>
          <w:sz w:val="28"/>
          <w:szCs w:val="28"/>
        </w:rPr>
        <w:t>Specifikace administrativní budova</w:t>
      </w:r>
    </w:p>
    <w:p w:rsidR="00D76D04" w:rsidRPr="00D76D04" w:rsidRDefault="00D76D04" w:rsidP="006B20AA">
      <w:pPr>
        <w:pStyle w:val="Standard"/>
        <w:jc w:val="both"/>
        <w:rPr>
          <w:rFonts w:ascii="COMTES FHT Standard" w:hAnsi="COMTES FHT Standard"/>
          <w:b/>
          <w:bCs/>
          <w:sz w:val="28"/>
          <w:szCs w:val="28"/>
        </w:rPr>
      </w:pPr>
    </w:p>
    <w:p w:rsidR="00D76D04" w:rsidRPr="00D76D04" w:rsidRDefault="00D76D04" w:rsidP="006B20AA">
      <w:pPr>
        <w:pStyle w:val="Standard"/>
        <w:jc w:val="both"/>
        <w:rPr>
          <w:rFonts w:ascii="COMTES FHT Standard" w:hAnsi="COMTES FHT Standard"/>
          <w:b/>
          <w:bCs/>
          <w:sz w:val="28"/>
          <w:szCs w:val="28"/>
        </w:rPr>
      </w:pPr>
      <w:r w:rsidRPr="00D76D04">
        <w:rPr>
          <w:rFonts w:ascii="COMTES FHT Standard" w:hAnsi="COMTES FHT Standard"/>
          <w:b/>
          <w:bCs/>
          <w:sz w:val="28"/>
          <w:szCs w:val="28"/>
        </w:rPr>
        <w:t>Ředitelské kanceláře:</w:t>
      </w:r>
    </w:p>
    <w:p w:rsidR="00D76D04" w:rsidRPr="00D76D04" w:rsidRDefault="00D76D04" w:rsidP="006B20AA">
      <w:pPr>
        <w:pStyle w:val="Standard"/>
        <w:jc w:val="both"/>
        <w:rPr>
          <w:rFonts w:ascii="COMTES FHT Standard" w:hAnsi="COMTES FHT Standard"/>
          <w:b/>
          <w:bCs/>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Stoly:</w:t>
      </w:r>
      <w:r w:rsidRPr="00D76D04">
        <w:rPr>
          <w:rFonts w:ascii="COMTES FHT Standard" w:hAnsi="COMTES FHT Standard"/>
        </w:rPr>
        <w:t xml:space="preserve"> pracovní desky i nohy tl.38mm, opatřené hranou ABS tl. 2mm, vynesenou-plovoucí deskou nad boky stolů. Stolové nohy jsou propojeny přepážkou, která zajišťuje soukromí. Nohy stolů jsou vybaveny skrytou rektifikací o celkové nastavitelné výšce 25mm pro dorovnání případných nerovností podlah. Jednací stůl osazen přípojným místem.V provedení ořech.</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Kontejner:</w:t>
      </w:r>
      <w:r w:rsidRPr="00D76D04">
        <w:rPr>
          <w:rFonts w:ascii="COMTES FHT Standard" w:hAnsi="COMTES FHT Standard"/>
        </w:rPr>
        <w:t xml:space="preserve"> korpus kontejneru je vyroben z tl.38mm, veškeré hrany jsou olepeny hranou ABS tl. 2mm. 4 zásuvkový z toho 1 zásuvka je tužkovnice. Kontejner je možný členit pomocí systému přepážek. Zásuvky jsou v kovovém provedení, tužkovnice jako samostatná zásuvka je plastová.</w:t>
      </w:r>
    </w:p>
    <w:p w:rsidR="00D76D04" w:rsidRPr="00D76D04" w:rsidRDefault="00D76D04" w:rsidP="006B20AA">
      <w:pPr>
        <w:pStyle w:val="Standard"/>
        <w:jc w:val="both"/>
        <w:rPr>
          <w:rFonts w:ascii="COMTES FHT Standard" w:hAnsi="COMTES FHT Standard"/>
        </w:rPr>
      </w:pPr>
      <w:r w:rsidRPr="00D76D04">
        <w:rPr>
          <w:rFonts w:ascii="COMTES FHT Standard" w:hAnsi="COMTES FHT Standard"/>
        </w:rPr>
        <w:t>Kontejner je vybaven centrálním zamykáním a systémem STOP-CONTROL. Kontejner poskytuje doplňkovou odkládací plochu. Úchytka sklopná v ušlechtilém niklovém provedení. V provedení ořech</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Skříně:</w:t>
      </w:r>
      <w:r w:rsidRPr="00D76D04">
        <w:rPr>
          <w:rFonts w:ascii="COMTES FHT Standard" w:hAnsi="COMTES FHT Standard"/>
        </w:rPr>
        <w:t xml:space="preserve"> provedení půdy, dna, boků, police a svislých příčky je v tl. 38mm. Záda a dveře skříní jsou v tl.18mm, pohledové. Veškeré hrany u skříní a police jsou olepeny ABS hranou o tl. 2mm. Dveře jsou vložené, doplněné sklopnou úchytkou v ušlechtilém niklovém provedení. Na dveřích skříní aplikované sklo tl.4mm vínové. Nosnost 1 police 80kg. Skříň má vynesenou vrchní desku. Skříně jsou vybaveny neviditelnou rektifikací k vyrovnání nerovností podlah. Kování značky BLUM. V provedení ořech.</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 xml:space="preserve">Věšáková stěna: </w:t>
      </w:r>
      <w:r w:rsidRPr="00D76D04">
        <w:rPr>
          <w:rFonts w:ascii="COMTES FHT Standard" w:hAnsi="COMTES FHT Standard"/>
        </w:rPr>
        <w:t>vyrobena z rámu o tl.38mm, zadní stěna o tl.18mm. Věšáková stěna je osazena zrcadlem a háčky. V provedení ořech.</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 xml:space="preserve">Konferenční stolek: </w:t>
      </w:r>
      <w:r w:rsidRPr="00D76D04">
        <w:rPr>
          <w:rFonts w:ascii="COMTES FHT Standard" w:hAnsi="COMTES FHT Standard"/>
        </w:rPr>
        <w:t>deska i nohy mají tl.38mm, hrany opatřeny ABS hranou tl.2mm, vynesenou plovoucí deskou nad boky stolů. Stolové nohy jsou propojeny přepážkou, která zajišťuje soukromí. Nohy stolů jsou vybaveny skrytou rektifikací o celkové nastavitelné výšce 25mm pro dorovnání případných nerovností podlah. V provedení ořech.</w:t>
      </w:r>
    </w:p>
    <w:p w:rsidR="00D76D04" w:rsidRPr="00D76D04" w:rsidRDefault="00D76D04" w:rsidP="006B20AA">
      <w:pPr>
        <w:pStyle w:val="Standard"/>
        <w:jc w:val="both"/>
        <w:rPr>
          <w:rFonts w:ascii="COMTES FHT Standard" w:hAnsi="COMTES FHT Standard"/>
        </w:rPr>
      </w:pPr>
    </w:p>
    <w:p w:rsidR="00A362C6" w:rsidRDefault="00A362C6" w:rsidP="006B20AA">
      <w:pPr>
        <w:pStyle w:val="Standard"/>
        <w:jc w:val="both"/>
        <w:rPr>
          <w:rFonts w:ascii="COMTES FHT Standard" w:hAnsi="COMTES FHT Standard"/>
          <w:b/>
          <w:bCs/>
        </w:rPr>
      </w:pPr>
    </w:p>
    <w:p w:rsidR="00A362C6" w:rsidRDefault="00A362C6" w:rsidP="006B20AA">
      <w:pPr>
        <w:pStyle w:val="Standard"/>
        <w:jc w:val="both"/>
        <w:rPr>
          <w:rFonts w:ascii="COMTES FHT Standard" w:hAnsi="COMTES FHT Standard"/>
          <w:b/>
          <w:bCs/>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lastRenderedPageBreak/>
        <w:t>Kancelářské křeslo:</w:t>
      </w:r>
      <w:r w:rsidRPr="00D76D04">
        <w:rPr>
          <w:rFonts w:ascii="COMTES FHT Standard" w:hAnsi="COMTES FHT Standard"/>
        </w:rPr>
        <w:t xml:space="preserve"> synchronní mechanismus, který mění polohu sedáku a opěráku zároveň. Sedák a opěrák lze zafixovat ve třech polohách, nastavení výšky a hloubky sedáku. Nastavení síly protiváhy podle své hmotnosti. Ergonomická bederní opěrka. Nastavení výšky a úhel hlavové opěrky. Výškově stavitelné područky. Kolečka s měkčeným povrchem. Nosnost 130kg. V černém provedení.</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 xml:space="preserve">Jednací židle: </w:t>
      </w:r>
      <w:r w:rsidRPr="00D76D04">
        <w:rPr>
          <w:rFonts w:ascii="COMTES FHT Standard" w:hAnsi="COMTES FHT Standard"/>
        </w:rPr>
        <w:t>svařovaná kovová konstrukce, hliníkově šedá barva kostry, samonosná síťovina na opěráku. Stohovatelná. S područkami. Opěrák i sedák v červeném provedení.</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 xml:space="preserve">Křesílka: </w:t>
      </w:r>
      <w:r w:rsidRPr="00D76D04">
        <w:rPr>
          <w:rFonts w:ascii="COMTES FHT Standard" w:hAnsi="COMTES FHT Standard"/>
        </w:rPr>
        <w:t>otočné celočalouněné křesílko na čtyřramenné aluminiové bázi, plynový píst, ocelová vnitřní struktura vyplněná studenou pěnou, nosnost 120 kg. V červeném provedení.</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b/>
          <w:bCs/>
          <w:sz w:val="28"/>
          <w:szCs w:val="28"/>
        </w:rPr>
      </w:pPr>
      <w:r w:rsidRPr="00D76D04">
        <w:rPr>
          <w:rFonts w:ascii="COMTES FHT Standard" w:hAnsi="COMTES FHT Standard"/>
          <w:b/>
          <w:bCs/>
          <w:sz w:val="28"/>
          <w:szCs w:val="28"/>
        </w:rPr>
        <w:t>Sekretariát</w:t>
      </w:r>
    </w:p>
    <w:p w:rsidR="00D76D04" w:rsidRPr="00D76D04" w:rsidRDefault="00D76D04" w:rsidP="006B20AA">
      <w:pPr>
        <w:pStyle w:val="Standard"/>
        <w:jc w:val="both"/>
        <w:rPr>
          <w:rFonts w:ascii="COMTES FHT Standard" w:hAnsi="COMTES FHT Standard"/>
          <w:b/>
          <w:bCs/>
          <w:sz w:val="28"/>
          <w:szCs w:val="28"/>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 xml:space="preserve">Recepce: </w:t>
      </w:r>
      <w:r w:rsidRPr="00D76D04">
        <w:rPr>
          <w:rFonts w:ascii="COMTES FHT Standard" w:hAnsi="COMTES FHT Standard"/>
        </w:rPr>
        <w:t>pracovní desky a korpus recepce je v tl.38mm, osazené skleněným panelem o tl.4mm ve vínovém provedení. Na přední plochu recepce je umístěn jednací pult v podobě rámu (boxu) s odkládacím prostorem pro klienta ve formě laminované desky t.38mm. Nohy recepčních stolů jsou vybaveny skrytou rektifikací o celkové nastavitelné výšce 25mm pro dorovnání případných nerovností podlahy. V provedení ořech.</w:t>
      </w:r>
    </w:p>
    <w:p w:rsidR="00D76D04" w:rsidRPr="00D76D04" w:rsidRDefault="00D76D04" w:rsidP="006B20AA">
      <w:pPr>
        <w:pStyle w:val="Standard"/>
        <w:jc w:val="both"/>
        <w:rPr>
          <w:rFonts w:ascii="COMTES FHT Standard" w:hAnsi="COMTES FHT Standard"/>
          <w:b/>
          <w:bCs/>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Kontejner:</w:t>
      </w:r>
      <w:r w:rsidRPr="00D76D04">
        <w:rPr>
          <w:rFonts w:ascii="COMTES FHT Standard" w:hAnsi="COMTES FHT Standard"/>
        </w:rPr>
        <w:t xml:space="preserve"> korpus kontejneru je vyroben z tl.38mm, veškeré hrany jsou olepeny hranou ABS tl. 2mm. 4 zásuvkový z toho 1 zásuvka je tužkovnice. Kontejner je možný členit pomocí systému přepážek. Zásuvky jsou v kovovém provedení, tužkovnice jako samostatná zásuvka je plastová.</w:t>
      </w:r>
    </w:p>
    <w:p w:rsidR="00D76D04" w:rsidRPr="00D76D04" w:rsidRDefault="00D76D04" w:rsidP="006B20AA">
      <w:pPr>
        <w:pStyle w:val="Standard"/>
        <w:jc w:val="both"/>
        <w:rPr>
          <w:rFonts w:ascii="COMTES FHT Standard" w:hAnsi="COMTES FHT Standard"/>
        </w:rPr>
      </w:pPr>
      <w:r w:rsidRPr="00D76D04">
        <w:rPr>
          <w:rFonts w:ascii="COMTES FHT Standard" w:hAnsi="COMTES FHT Standard"/>
        </w:rPr>
        <w:t>Kontejner je vybaven centrálním zamykáním a systémem STOP-CONTROL. Kontejner poskytuje doplňkovou odkládací plochu. Úchytka sklopná v ušlechtilém niklovém provedení. V provedení ořech</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Skříně:</w:t>
      </w:r>
      <w:r w:rsidRPr="00D76D04">
        <w:rPr>
          <w:rFonts w:ascii="COMTES FHT Standard" w:hAnsi="COMTES FHT Standard"/>
        </w:rPr>
        <w:t xml:space="preserve"> provedení půdy, dna, boků, police a svislých příčky je v tl. 38mm. Záda a dveře skříní jsou v tl.18mm, pohledové. Veškeré hrany u skříní a police jsou olepeny ABS hranou o tl. 2mm. Dveře jsou vložené, doplněné sklopnou úchytkou v ušlechtilém niklovém provedení. Na dveřích skříní aplikované sklo tl.4mm vínové. Nosnost 1 police 80kg. Skříň má vynesenou vrchní desku. Skříně jsou vybaveny neviditelnou rektifikací k vyrovnání nerovností podlah. Kování značky BLUM. V provedení ořech.</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 xml:space="preserve">Věšáková stěna: </w:t>
      </w:r>
      <w:r w:rsidRPr="00D76D04">
        <w:rPr>
          <w:rFonts w:ascii="COMTES FHT Standard" w:hAnsi="COMTES FHT Standard"/>
        </w:rPr>
        <w:t>vyrobena z rámu o tl.38mm, zadní stěna o tl.18mm. Věšáková stěna je osazena zrcadlem a háčky. V provedení ořech.</w:t>
      </w:r>
    </w:p>
    <w:p w:rsidR="00D76D04" w:rsidRPr="00D76D04" w:rsidRDefault="00D76D04" w:rsidP="006B20AA">
      <w:pPr>
        <w:pStyle w:val="Standard"/>
        <w:jc w:val="both"/>
        <w:rPr>
          <w:rFonts w:ascii="COMTES FHT Standard" w:hAnsi="COMTES FHT Standard"/>
          <w:b/>
          <w:bCs/>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 xml:space="preserve">Konferenční stolek: </w:t>
      </w:r>
      <w:r w:rsidRPr="00D76D04">
        <w:rPr>
          <w:rFonts w:ascii="COMTES FHT Standard" w:hAnsi="COMTES FHT Standard"/>
        </w:rPr>
        <w:t>deska i nohy mají tl.38mm, hrany opatřeny ABS hranou tl.2mm, vynesenou plovoucí deskou nad boky stolů. Stolové nohy jsou propojeny přepážkou, která zajišťuje soukromí. Nohy stolů jsou vybaveny skrytou rektifikací o celkové nastavitelné výšce 25mm pro dorovnání případných nerovností podlah. V provedení ořech.</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lastRenderedPageBreak/>
        <w:t xml:space="preserve">Kancelářská židle: </w:t>
      </w:r>
      <w:r w:rsidRPr="00D76D04">
        <w:rPr>
          <w:rFonts w:ascii="COMTES FHT Standard" w:hAnsi="COMTES FHT Standard"/>
        </w:rPr>
        <w:t>synchronní mechanismus se 4 polohami blokace, nastavení výšky sedáku, studená pěna uvnitř sedáku a samonosná síťovina na opěráku, flexibilní bederní opěrka, výškově stavitelná hlavová opěrka s možností náklonu, výškově stavitelné područky s měkčenou horní plochou, automatické nastavení síly protiváhy podle hmotnosti uživatele, univerzální kolečka pro tvrdou podlahu a koberec. Síťovina černá, sedák červený.</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 xml:space="preserve">Jednací židle: </w:t>
      </w:r>
      <w:r w:rsidRPr="00D76D04">
        <w:rPr>
          <w:rFonts w:ascii="COMTES FHT Standard" w:hAnsi="COMTES FHT Standard"/>
        </w:rPr>
        <w:t>svařovaná kovová konstrukce, hliníkově šedá barva kostry, samonosná síťovina na opěráku. Stohovatelná. S područkami. Opěrák i sedák v červeném provedení.</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 xml:space="preserve">Křesílka: </w:t>
      </w:r>
      <w:r w:rsidRPr="00D76D04">
        <w:rPr>
          <w:rFonts w:ascii="COMTES FHT Standard" w:hAnsi="COMTES FHT Standard"/>
        </w:rPr>
        <w:t>otočné celočalouněné křesílko na čtyřramenné aluminiové bázi, plynový píst, ocelová vnitřní struktura vyplněná studenou pěnou, nosnost 120 kg. V červeném provedení.</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b/>
          <w:bCs/>
          <w:sz w:val="28"/>
          <w:szCs w:val="28"/>
        </w:rPr>
      </w:pPr>
      <w:r w:rsidRPr="00D76D04">
        <w:rPr>
          <w:rFonts w:ascii="COMTES FHT Standard" w:hAnsi="COMTES FHT Standard"/>
          <w:b/>
          <w:bCs/>
          <w:sz w:val="28"/>
          <w:szCs w:val="28"/>
        </w:rPr>
        <w:t>Recepce</w:t>
      </w:r>
    </w:p>
    <w:p w:rsidR="00D76D04" w:rsidRPr="00D76D04" w:rsidRDefault="00D76D04" w:rsidP="006B20AA">
      <w:pPr>
        <w:pStyle w:val="Standard"/>
        <w:jc w:val="both"/>
        <w:rPr>
          <w:rFonts w:ascii="COMTES FHT Standard" w:hAnsi="COMTES FHT Standard"/>
          <w:b/>
          <w:bCs/>
          <w:sz w:val="28"/>
          <w:szCs w:val="28"/>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 xml:space="preserve">Recepce: </w:t>
      </w:r>
      <w:r w:rsidRPr="00D76D04">
        <w:rPr>
          <w:rFonts w:ascii="COMTES FHT Standard" w:hAnsi="COMTES FHT Standard"/>
        </w:rPr>
        <w:t>pracovní desky a korpus recepce je v tl.38mm, osazené vysoce efektivním skleněným panelem o tl.4mm ve vínovém provedení. Na přední plochu recepce je umístěn jednací pult v podobě rámu (boxu) s odkládacím prostorem pro klienta ve formě laminované desky t.38mm. Nohy recepčních stolů jsou vybaveny skrytou rektifikací o celkové nastavitelné výšce 25mm pro dorovnání případných nerovností podlahy. V provedení ořech</w:t>
      </w:r>
    </w:p>
    <w:p w:rsidR="00D76D04" w:rsidRPr="00D76D04" w:rsidRDefault="00D76D04" w:rsidP="006B20AA">
      <w:pPr>
        <w:pStyle w:val="Standard"/>
        <w:jc w:val="both"/>
        <w:rPr>
          <w:rFonts w:ascii="COMTES FHT Standard" w:hAnsi="COMTES FHT Standard"/>
          <w:b/>
          <w:bCs/>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Kontejner:</w:t>
      </w:r>
      <w:r w:rsidRPr="00D76D04">
        <w:rPr>
          <w:rFonts w:ascii="COMTES FHT Standard" w:hAnsi="COMTES FHT Standard"/>
        </w:rPr>
        <w:t xml:space="preserve"> korpus kontejneru je vyroben z tl.38mm, veškeré hrany jsou olepeny hranou ABS tl. 2mm. 4 zásuvkový z toho 1 zásuvka je tužkovnice. Kontejner je možný členit pomocí systému přepážek. Zásuvky jsou v kovovém provedení, tužkovnice jako samostatná zásuvka je plastová.</w:t>
      </w:r>
    </w:p>
    <w:p w:rsidR="00D76D04" w:rsidRPr="00D76D04" w:rsidRDefault="00D76D04" w:rsidP="006B20AA">
      <w:pPr>
        <w:pStyle w:val="Standard"/>
        <w:jc w:val="both"/>
        <w:rPr>
          <w:rFonts w:ascii="COMTES FHT Standard" w:hAnsi="COMTES FHT Standard"/>
        </w:rPr>
      </w:pPr>
      <w:r w:rsidRPr="00D76D04">
        <w:rPr>
          <w:rFonts w:ascii="COMTES FHT Standard" w:hAnsi="COMTES FHT Standard"/>
        </w:rPr>
        <w:t>Kontejner je vybaven centrálním zamykáním a systémem STOP-CONTROL. Kontejner poskytuje doplňkovou odkládací plochu. Úchytka sklopná v ušlechtilém niklovém provedení. V provedení ořech</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Skříně:</w:t>
      </w:r>
      <w:r w:rsidRPr="00D76D04">
        <w:rPr>
          <w:rFonts w:ascii="COMTES FHT Standard" w:hAnsi="COMTES FHT Standard"/>
        </w:rPr>
        <w:t xml:space="preserve"> provedení půdy, dna, boků, police a svislých příčky je v tl. 38mm. Záda a dveře skříní jsou v tl.18mm, pohledové. Veškeré hrany u skříní a police jsou olepeny ABS hranou o tl. 2mm. Dveře jsou vložené, doplněné sklopnou úchytkou v ušlechtilém niklovém provedení. Na dveřích skříní aplikované sklo tl.4mm vínové. Nosnost 1 police 80kg. Skříň má vynesenou vrchní desku. Skříně jsou vybaveny neviditelnou rektifikací k vyrovnání nerovností podlah. Kování značky BLUM. V provedení ořech.</w:t>
      </w:r>
    </w:p>
    <w:p w:rsidR="00D76D04" w:rsidRPr="00D76D04" w:rsidRDefault="00D76D04" w:rsidP="006B20AA">
      <w:pPr>
        <w:pStyle w:val="Standard"/>
        <w:jc w:val="both"/>
        <w:rPr>
          <w:rFonts w:ascii="COMTES FHT Standard" w:hAnsi="COMTES FHT Standard"/>
          <w:b/>
          <w:bCs/>
          <w:sz w:val="28"/>
          <w:szCs w:val="28"/>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 xml:space="preserve">Kancelářská židle: </w:t>
      </w:r>
      <w:r w:rsidRPr="00D76D04">
        <w:rPr>
          <w:rFonts w:ascii="COMTES FHT Standard" w:hAnsi="COMTES FHT Standard"/>
        </w:rPr>
        <w:t>synchronní mechanismus se 4 polohami blokace, nastavení výšky sedáku, studená pěna uvnitř sedáku a samonosná síťovina na opěráku, flexibilní bederní opěrka, výškově stavitelná hlavová opěrka s možností náklonu, výškově stavitelné područky s měkčenou horní plochou, automatické nastavení síly protiváhy podle hmotnosti uživatele, univerzální kolečka pro tvrdou podlahu a koberec. Síťovina černá, sedák červený.</w:t>
      </w:r>
    </w:p>
    <w:p w:rsidR="00D76D04" w:rsidRPr="00D76D04" w:rsidRDefault="00D76D04" w:rsidP="006B20AA">
      <w:pPr>
        <w:pStyle w:val="Standard"/>
        <w:jc w:val="both"/>
        <w:rPr>
          <w:rFonts w:ascii="COMTES FHT Standard" w:hAnsi="COMTES FHT Standard"/>
        </w:rPr>
      </w:pPr>
    </w:p>
    <w:p w:rsidR="00A362C6" w:rsidRDefault="00A362C6" w:rsidP="006B20AA">
      <w:pPr>
        <w:pStyle w:val="Standard"/>
        <w:jc w:val="both"/>
        <w:rPr>
          <w:rFonts w:ascii="COMTES FHT Standard" w:hAnsi="COMTES FHT Standard"/>
          <w:b/>
          <w:bCs/>
          <w:sz w:val="28"/>
          <w:szCs w:val="28"/>
        </w:rPr>
      </w:pPr>
    </w:p>
    <w:p w:rsidR="00A362C6" w:rsidRDefault="00A362C6" w:rsidP="006B20AA">
      <w:pPr>
        <w:pStyle w:val="Standard"/>
        <w:jc w:val="both"/>
        <w:rPr>
          <w:rFonts w:ascii="COMTES FHT Standard" w:hAnsi="COMTES FHT Standard"/>
          <w:b/>
          <w:bCs/>
          <w:sz w:val="28"/>
          <w:szCs w:val="28"/>
        </w:rPr>
      </w:pPr>
    </w:p>
    <w:p w:rsidR="00A362C6" w:rsidRDefault="00A362C6" w:rsidP="006B20AA">
      <w:pPr>
        <w:pStyle w:val="Standard"/>
        <w:jc w:val="both"/>
        <w:rPr>
          <w:rFonts w:ascii="COMTES FHT Standard" w:hAnsi="COMTES FHT Standard"/>
          <w:b/>
          <w:bCs/>
          <w:sz w:val="28"/>
          <w:szCs w:val="28"/>
        </w:rPr>
      </w:pPr>
    </w:p>
    <w:p w:rsidR="00D76D04" w:rsidRPr="00D76D04" w:rsidRDefault="00D76D04" w:rsidP="006B20AA">
      <w:pPr>
        <w:pStyle w:val="Standard"/>
        <w:jc w:val="both"/>
        <w:rPr>
          <w:rFonts w:ascii="COMTES FHT Standard" w:hAnsi="COMTES FHT Standard"/>
          <w:b/>
          <w:bCs/>
          <w:sz w:val="28"/>
          <w:szCs w:val="28"/>
        </w:rPr>
      </w:pPr>
      <w:r w:rsidRPr="00D76D04">
        <w:rPr>
          <w:rFonts w:ascii="COMTES FHT Standard" w:hAnsi="COMTES FHT Standard"/>
          <w:b/>
          <w:bCs/>
          <w:sz w:val="28"/>
          <w:szCs w:val="28"/>
        </w:rPr>
        <w:lastRenderedPageBreak/>
        <w:t>Kuchyň</w:t>
      </w:r>
    </w:p>
    <w:p w:rsidR="00D76D04" w:rsidRPr="00D76D04" w:rsidRDefault="00D76D04" w:rsidP="006B20AA">
      <w:pPr>
        <w:pStyle w:val="Standard"/>
        <w:jc w:val="both"/>
        <w:rPr>
          <w:rFonts w:ascii="COMTES FHT Standard" w:hAnsi="COMTES FHT Standard"/>
          <w:b/>
          <w:bCs/>
          <w:sz w:val="28"/>
          <w:szCs w:val="28"/>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 xml:space="preserve">Spodní skříňky: </w:t>
      </w:r>
      <w:r w:rsidRPr="00D76D04">
        <w:rPr>
          <w:rFonts w:ascii="COMTES FHT Standard" w:hAnsi="COMTES FHT Standard"/>
        </w:rPr>
        <w:t>korpus skříně je z laminované dřevotřísky o tl.18mm, záda jsou vyrobena z 3mm bílého sololaku. Skříňky jsou opatřeny rektifikačními nožičkami, které lze zakrýt soklem. Součástí vestavná lednice.</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Vrchní skříňky:</w:t>
      </w:r>
      <w:r w:rsidRPr="00D76D04">
        <w:rPr>
          <w:rFonts w:ascii="COMTES FHT Standard" w:hAnsi="COMTES FHT Standard"/>
        </w:rPr>
        <w:t xml:space="preserve"> korpus je z laminované dřevotřískové desky o tloušťce 18</w:t>
      </w:r>
      <w:r w:rsidRPr="00D76D04">
        <w:rPr>
          <w:rFonts w:ascii="Arial" w:hAnsi="Arial" w:cs="Arial"/>
        </w:rPr>
        <w:t> </w:t>
      </w:r>
      <w:r w:rsidRPr="00D76D04">
        <w:rPr>
          <w:rFonts w:ascii="COMTES FHT Standard" w:hAnsi="COMTES FHT Standard"/>
        </w:rPr>
        <w:t>mm, z</w:t>
      </w:r>
      <w:r w:rsidRPr="00D76D04">
        <w:rPr>
          <w:rFonts w:ascii="COMTES FHT Standard" w:hAnsi="COMTES FHT Standard" w:cs="COMTES FHT Standard"/>
        </w:rPr>
        <w:t>á</w:t>
      </w:r>
      <w:r w:rsidRPr="00D76D04">
        <w:rPr>
          <w:rFonts w:ascii="COMTES FHT Standard" w:hAnsi="COMTES FHT Standard"/>
        </w:rPr>
        <w:t>da jsou vyrobena z 8</w:t>
      </w:r>
      <w:r w:rsidRPr="00D76D04">
        <w:rPr>
          <w:rFonts w:ascii="Arial" w:hAnsi="Arial" w:cs="Arial"/>
        </w:rPr>
        <w:t> </w:t>
      </w:r>
      <w:r w:rsidRPr="00D76D04">
        <w:rPr>
          <w:rFonts w:ascii="COMTES FHT Standard" w:hAnsi="COMTES FHT Standard"/>
        </w:rPr>
        <w:t>mm siln</w:t>
      </w:r>
      <w:r w:rsidRPr="00D76D04">
        <w:rPr>
          <w:rFonts w:ascii="COMTES FHT Standard" w:hAnsi="COMTES FHT Standard" w:cs="COMTES FHT Standard"/>
        </w:rPr>
        <w:t>é</w:t>
      </w:r>
      <w:r w:rsidRPr="00D76D04">
        <w:rPr>
          <w:rFonts w:ascii="COMTES FHT Standard" w:hAnsi="COMTES FHT Standard"/>
        </w:rPr>
        <w:t xml:space="preserve"> laminovan</w:t>
      </w:r>
      <w:r w:rsidRPr="00D76D04">
        <w:rPr>
          <w:rFonts w:ascii="COMTES FHT Standard" w:hAnsi="COMTES FHT Standard" w:cs="COMTES FHT Standard"/>
        </w:rPr>
        <w:t>é</w:t>
      </w:r>
      <w:r w:rsidRPr="00D76D04">
        <w:rPr>
          <w:rFonts w:ascii="COMTES FHT Standard" w:hAnsi="COMTES FHT Standard"/>
        </w:rPr>
        <w:t xml:space="preserve"> d</w:t>
      </w:r>
      <w:r w:rsidRPr="00D76D04">
        <w:rPr>
          <w:rFonts w:ascii="COMTES FHT Standard" w:hAnsi="COMTES FHT Standard" w:cs="COMTES FHT Standard"/>
        </w:rPr>
        <w:t>ř</w:t>
      </w:r>
      <w:r w:rsidRPr="00D76D04">
        <w:rPr>
          <w:rFonts w:ascii="COMTES FHT Standard" w:hAnsi="COMTES FHT Standard"/>
        </w:rPr>
        <w:t>evot</w:t>
      </w:r>
      <w:r w:rsidRPr="00D76D04">
        <w:rPr>
          <w:rFonts w:ascii="COMTES FHT Standard" w:hAnsi="COMTES FHT Standard" w:cs="COMTES FHT Standard"/>
        </w:rPr>
        <w:t>ří</w:t>
      </w:r>
      <w:r w:rsidRPr="00D76D04">
        <w:rPr>
          <w:rFonts w:ascii="COMTES FHT Standard" w:hAnsi="COMTES FHT Standard"/>
        </w:rPr>
        <w:t>sky. Sou</w:t>
      </w:r>
      <w:r w:rsidRPr="00D76D04">
        <w:rPr>
          <w:rFonts w:ascii="COMTES FHT Standard" w:hAnsi="COMTES FHT Standard" w:cs="COMTES FHT Standard"/>
        </w:rPr>
        <w:t>čá</w:t>
      </w:r>
      <w:r w:rsidRPr="00D76D04">
        <w:rPr>
          <w:rFonts w:ascii="COMTES FHT Standard" w:hAnsi="COMTES FHT Standard"/>
        </w:rPr>
        <w:t>st</w:t>
      </w:r>
      <w:r w:rsidRPr="00D76D04">
        <w:rPr>
          <w:rFonts w:ascii="COMTES FHT Standard" w:hAnsi="COMTES FHT Standard" w:cs="COMTES FHT Standard"/>
        </w:rPr>
        <w:t>í</w:t>
      </w:r>
      <w:r w:rsidRPr="00D76D04">
        <w:rPr>
          <w:rFonts w:ascii="COMTES FHT Standard" w:hAnsi="COMTES FHT Standard"/>
        </w:rPr>
        <w:t xml:space="preserve"> vrchn</w:t>
      </w:r>
      <w:r w:rsidRPr="00D76D04">
        <w:rPr>
          <w:rFonts w:ascii="COMTES FHT Standard" w:hAnsi="COMTES FHT Standard" w:cs="COMTES FHT Standard"/>
        </w:rPr>
        <w:t>í</w:t>
      </w:r>
      <w:r w:rsidRPr="00D76D04">
        <w:rPr>
          <w:rFonts w:ascii="COMTES FHT Standard" w:hAnsi="COMTES FHT Standard"/>
        </w:rPr>
        <w:t>ch sk</w:t>
      </w:r>
      <w:r w:rsidRPr="00D76D04">
        <w:rPr>
          <w:rFonts w:ascii="COMTES FHT Standard" w:hAnsi="COMTES FHT Standard" w:cs="COMTES FHT Standard"/>
        </w:rPr>
        <w:t>ří</w:t>
      </w:r>
      <w:r w:rsidRPr="00D76D04">
        <w:rPr>
          <w:rFonts w:ascii="COMTES FHT Standard" w:hAnsi="COMTES FHT Standard"/>
        </w:rPr>
        <w:t>n</w:t>
      </w:r>
      <w:r w:rsidRPr="00D76D04">
        <w:rPr>
          <w:rFonts w:ascii="COMTES FHT Standard" w:hAnsi="COMTES FHT Standard" w:cs="COMTES FHT Standard"/>
        </w:rPr>
        <w:t>ě</w:t>
      </w:r>
      <w:r w:rsidRPr="00D76D04">
        <w:rPr>
          <w:rFonts w:ascii="COMTES FHT Standard" w:hAnsi="COMTES FHT Standard"/>
        </w:rPr>
        <w:t>k jsou kvalitn</w:t>
      </w:r>
      <w:r w:rsidRPr="00D76D04">
        <w:rPr>
          <w:rFonts w:ascii="COMTES FHT Standard" w:hAnsi="COMTES FHT Standard" w:cs="COMTES FHT Standard"/>
        </w:rPr>
        <w:t>í</w:t>
      </w:r>
      <w:r w:rsidRPr="00D76D04">
        <w:rPr>
          <w:rFonts w:ascii="COMTES FHT Standard" w:hAnsi="COMTES FHT Standard"/>
        </w:rPr>
        <w:t xml:space="preserve"> z</w:t>
      </w:r>
      <w:r w:rsidRPr="00D76D04">
        <w:rPr>
          <w:rFonts w:ascii="COMTES FHT Standard" w:hAnsi="COMTES FHT Standard" w:cs="COMTES FHT Standard"/>
        </w:rPr>
        <w:t>á</w:t>
      </w:r>
      <w:r w:rsidRPr="00D76D04">
        <w:rPr>
          <w:rFonts w:ascii="COMTES FHT Standard" w:hAnsi="COMTES FHT Standard"/>
        </w:rPr>
        <w:t>v</w:t>
      </w:r>
      <w:r w:rsidRPr="00D76D04">
        <w:rPr>
          <w:rFonts w:ascii="COMTES FHT Standard" w:hAnsi="COMTES FHT Standard" w:cs="COMTES FHT Standard"/>
        </w:rPr>
        <w:t>ě</w:t>
      </w:r>
      <w:r w:rsidRPr="00D76D04">
        <w:rPr>
          <w:rFonts w:ascii="COMTES FHT Standard" w:hAnsi="COMTES FHT Standard"/>
        </w:rPr>
        <w:t>sy s regulac</w:t>
      </w:r>
      <w:r w:rsidRPr="00D76D04">
        <w:rPr>
          <w:rFonts w:ascii="COMTES FHT Standard" w:hAnsi="COMTES FHT Standard" w:cs="COMTES FHT Standard"/>
        </w:rPr>
        <w:t>í</w:t>
      </w:r>
      <w:r w:rsidRPr="00D76D04">
        <w:rPr>
          <w:rFonts w:ascii="COMTES FHT Standard" w:hAnsi="COMTES FHT Standard"/>
        </w:rPr>
        <w:t>.</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Pracovní deska:</w:t>
      </w:r>
      <w:r w:rsidRPr="00D76D04">
        <w:rPr>
          <w:rFonts w:ascii="COMTES FHT Standard" w:hAnsi="COMTES FHT Standard"/>
        </w:rPr>
        <w:t xml:space="preserve"> tloušťka pracovní desky je 28mm s odolností, součástí desky jsou krycí lišty, která zabrání zatékání vody za pracovní desku. Dřez s odkapávačem a pákovou baterií.</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b/>
          <w:bCs/>
          <w:sz w:val="28"/>
          <w:szCs w:val="28"/>
        </w:rPr>
      </w:pPr>
      <w:r w:rsidRPr="00D76D04">
        <w:rPr>
          <w:rFonts w:ascii="COMTES FHT Standard" w:hAnsi="COMTES FHT Standard"/>
          <w:b/>
          <w:bCs/>
          <w:sz w:val="28"/>
          <w:szCs w:val="28"/>
        </w:rPr>
        <w:t>Standardní kanceláře</w:t>
      </w:r>
    </w:p>
    <w:p w:rsidR="00D76D04" w:rsidRPr="00D76D04" w:rsidRDefault="00D76D04" w:rsidP="006B20AA">
      <w:pPr>
        <w:pStyle w:val="Standard"/>
        <w:jc w:val="both"/>
        <w:rPr>
          <w:rFonts w:ascii="COMTES FHT Standard" w:hAnsi="COMTES FHT Standard"/>
          <w:b/>
          <w:bCs/>
          <w:sz w:val="28"/>
          <w:szCs w:val="28"/>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 xml:space="preserve">Stoly: </w:t>
      </w:r>
      <w:r w:rsidRPr="00D76D04">
        <w:rPr>
          <w:rFonts w:ascii="COMTES FHT Standard" w:hAnsi="COMTES FHT Standard"/>
        </w:rPr>
        <w:t>ergonomicky tvarované pracovní stoly o tl.25mm, které odpovídají normě ČSN EN 527–1. Hrany stolu jsou vybaveny 2mm ABS hranou, součástí stolu je průchodka na kabely, která kabely svede pod desku, kde se zajistí plastovými držáky. Konstrukce stolů splňuje vysoké nároky na kvalitu a ergonomii (ČSN EN 527–1) a odpovídají tak normám ČSN EN 527–2, ČSN EN 527–3, ČSN 910001 a ČSN 910100. Příčka i boky jsou z plných desek, silné 18mm s 2mm ABS hranou na vnější a vnitřní straně. Nohy jsou osazeny výškově stavitelnou rektifikací. V provedení višeň.</w:t>
      </w:r>
    </w:p>
    <w:p w:rsidR="00D76D04" w:rsidRPr="00D76D04" w:rsidRDefault="00D76D04" w:rsidP="00D76D04">
      <w:pPr>
        <w:pStyle w:val="Standard"/>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Kontejner:</w:t>
      </w:r>
      <w:r w:rsidRPr="00D76D04">
        <w:rPr>
          <w:rFonts w:ascii="COMTES FHT Standard" w:hAnsi="COMTES FHT Standard"/>
        </w:rPr>
        <w:t xml:space="preserve"> 4 zásuvkový, korpus kontejneru je laminovaná deska o tl.18mm, horní deska je tl.25mm, opatřené ABS hranou o tl.2mm. Kontejner je osazen centrálním zámkem a systémem STOP-CONTROL. Zásuvky jsou z plastu, pro jednoduchou údržbu. Čela zásuvek jsou z 18mm laminované desky s odolnou 2mm ABS hranou. Součástí kontejneru tužkovník a dělící příčky. V provedení višeň.</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Skříně:</w:t>
      </w:r>
      <w:r w:rsidRPr="00D76D04">
        <w:rPr>
          <w:rFonts w:ascii="COMTES FHT Standard" w:hAnsi="COMTES FHT Standard"/>
        </w:rPr>
        <w:t xml:space="preserve"> korpus skříní s police jsou vyrobeny z tl.18mm laminovaných desek, záda o tl.3mm silných desek HDF, oboustranně pohledová. Dveře mají 22mm ABS hranu. Police jsou polohovatelné, zabezpečené proti vysunutí. Skříně jsou osazeny rektifikacemi, pro dorovnání nerovností podlah. V provedení višeň.</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Věšáková stěna:</w:t>
      </w:r>
      <w:r w:rsidRPr="00D76D04">
        <w:rPr>
          <w:rFonts w:ascii="COMTES FHT Standard" w:hAnsi="COMTES FHT Standard"/>
        </w:rPr>
        <w:t xml:space="preserve"> stěna je vyrobena z 18mm silné desky, s odkládací policí, 3 velké háčky, 1 malý háček. V provedení višeň.</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Kancelářská židle:</w:t>
      </w:r>
      <w:r w:rsidRPr="00D76D04">
        <w:rPr>
          <w:rFonts w:ascii="COMTES FHT Standard" w:hAnsi="COMTES FHT Standard"/>
        </w:rPr>
        <w:t xml:space="preserve"> synchronní mechanismus se 4 polohami blokace, nastavení výšky sedáku, studená pěna uvnitř sedáku a samonosná síťovina na opěráku, flexibilní bederní opěrka, výškově stavitelná hlavová opěrka s možností náklonu, výškově stavitelné područky s měkčenou horní plochou, automatické nastavení síly protiváhy podle hmotnosti uživatele, univerzální kolečka pro tvrdou podlahu a koberec. Síťovina černá, sedák červený.</w:t>
      </w:r>
    </w:p>
    <w:p w:rsidR="00175605" w:rsidRDefault="00175605" w:rsidP="006B20AA">
      <w:pPr>
        <w:pStyle w:val="Standard"/>
        <w:jc w:val="both"/>
        <w:rPr>
          <w:rFonts w:ascii="COMTES FHT Standard" w:hAnsi="COMTES FHT Standard"/>
          <w:b/>
          <w:bCs/>
        </w:rPr>
      </w:pPr>
    </w:p>
    <w:p w:rsidR="00D76D04" w:rsidRPr="00D76D04" w:rsidRDefault="00D76D04" w:rsidP="006B20AA">
      <w:pPr>
        <w:pStyle w:val="Standard"/>
        <w:jc w:val="both"/>
        <w:rPr>
          <w:rFonts w:ascii="COMTES FHT Standard" w:hAnsi="COMTES FHT Standard"/>
        </w:rPr>
      </w:pPr>
      <w:bookmarkStart w:id="0" w:name="_GoBack"/>
      <w:bookmarkEnd w:id="0"/>
      <w:r w:rsidRPr="00D76D04">
        <w:rPr>
          <w:rFonts w:ascii="COMTES FHT Standard" w:hAnsi="COMTES FHT Standard"/>
          <w:b/>
          <w:bCs/>
        </w:rPr>
        <w:lastRenderedPageBreak/>
        <w:t xml:space="preserve">Jednací židle: </w:t>
      </w:r>
      <w:r w:rsidRPr="00D76D04">
        <w:rPr>
          <w:rFonts w:ascii="COMTES FHT Standard" w:hAnsi="COMTES FHT Standard"/>
        </w:rPr>
        <w:t>svařovaná kovová konstrukce, hliníkově šedá barva kostry, samonosná síťovina na opěráku. Stohovatelná. S područkami. Opěrák i sedák v červeném provedení.</w:t>
      </w:r>
    </w:p>
    <w:p w:rsidR="00D76D04" w:rsidRPr="00D76D04" w:rsidRDefault="00D76D04" w:rsidP="006B20AA">
      <w:pPr>
        <w:pStyle w:val="Standard"/>
        <w:jc w:val="both"/>
        <w:rPr>
          <w:rFonts w:ascii="COMTES FHT Standard" w:hAnsi="COMTES FHT Standard"/>
          <w:b/>
          <w:bCs/>
          <w:sz w:val="28"/>
          <w:szCs w:val="28"/>
        </w:rPr>
      </w:pPr>
    </w:p>
    <w:p w:rsidR="00D76D04" w:rsidRPr="00D76D04" w:rsidRDefault="00D76D04" w:rsidP="006B20AA">
      <w:pPr>
        <w:pStyle w:val="Standard"/>
        <w:jc w:val="both"/>
        <w:rPr>
          <w:rFonts w:ascii="COMTES FHT Standard" w:hAnsi="COMTES FHT Standard"/>
          <w:b/>
          <w:bCs/>
          <w:sz w:val="28"/>
          <w:szCs w:val="28"/>
        </w:rPr>
      </w:pPr>
      <w:r w:rsidRPr="00D76D04">
        <w:rPr>
          <w:rFonts w:ascii="COMTES FHT Standard" w:hAnsi="COMTES FHT Standard"/>
          <w:b/>
          <w:bCs/>
          <w:sz w:val="28"/>
          <w:szCs w:val="28"/>
        </w:rPr>
        <w:t>Zasedací místnosti</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Jednací stoly:</w:t>
      </w:r>
      <w:r w:rsidRPr="00D76D04">
        <w:rPr>
          <w:rFonts w:ascii="COMTES FHT Standard" w:hAnsi="COMTES FHT Standard"/>
        </w:rPr>
        <w:t xml:space="preserve"> pracovní deska stolu má tl.25mm, vybavenou 2mm ABS hranou. Podnož je kovováz čtyřhranného profilu 50x50, nohy jsou osazeny výškovou rektifikací, který umožňuje dorovnat nerovnost o 15mm. Stoly jsou osazeny elektrickými otáčecími panely. Otáčení celé zásuvky je prováděno pomocí elektrického motoru s magnetickou spojkou. V provedení višeň/šedý kov.</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Skříně:</w:t>
      </w:r>
      <w:r w:rsidRPr="00D76D04">
        <w:rPr>
          <w:rFonts w:ascii="COMTES FHT Standard" w:hAnsi="COMTES FHT Standard"/>
        </w:rPr>
        <w:t xml:space="preserve"> korpus skříní s police jsou vyrobeny z tl.18mm laminovaných desek, záda o tl.3mm silných desek HDF, oboustranně pohledová. Dveře mají 22mm ABS hranu. Police jsou polohovatelné, zabezpečené proti vysunutí. Skříně jsou osazeny rektifikacemi, pro dorovnání nerovností podlah. V provedení višeň.</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Věšáková stěna:</w:t>
      </w:r>
      <w:r w:rsidRPr="00D76D04">
        <w:rPr>
          <w:rFonts w:ascii="COMTES FHT Standard" w:hAnsi="COMTES FHT Standard"/>
        </w:rPr>
        <w:t xml:space="preserve"> stěna je vyrobena z 18mm silné desky, s odkládací policí, 3 velké háčky, 1 malý háček. V provedení višeň.</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b/>
          <w:bCs/>
        </w:rPr>
        <w:t>Zrcadlová stěna:</w:t>
      </w:r>
      <w:r w:rsidRPr="00D76D04">
        <w:rPr>
          <w:rFonts w:ascii="COMTES FHT Standard" w:hAnsi="COMTES FHT Standard"/>
        </w:rPr>
        <w:t xml:space="preserve">  stěna je vyrobena z 18mm silné desky, s odkládacíma policemi, zrcadlo. V provedení višeň.</w:t>
      </w:r>
    </w:p>
    <w:p w:rsidR="00D76D04" w:rsidRPr="00D76D04" w:rsidRDefault="00D76D04" w:rsidP="006B20AA">
      <w:pPr>
        <w:pStyle w:val="Standard"/>
        <w:jc w:val="both"/>
        <w:rPr>
          <w:rFonts w:ascii="COMTES FHT Standard" w:hAnsi="COMTES FHT Standard"/>
        </w:rPr>
      </w:pPr>
    </w:p>
    <w:p w:rsidR="00A362C6" w:rsidRDefault="00D76D04" w:rsidP="006B20AA">
      <w:pPr>
        <w:pStyle w:val="Standard"/>
        <w:jc w:val="both"/>
        <w:rPr>
          <w:rFonts w:ascii="COMTES FHT Standard" w:hAnsi="COMTES FHT Standard"/>
        </w:rPr>
      </w:pPr>
      <w:r w:rsidRPr="00D76D04">
        <w:rPr>
          <w:rFonts w:ascii="COMTES FHT Standard" w:hAnsi="COMTES FHT Standard"/>
          <w:b/>
          <w:bCs/>
        </w:rPr>
        <w:t xml:space="preserve">Jednací židle: </w:t>
      </w:r>
      <w:r w:rsidRPr="00D76D04">
        <w:rPr>
          <w:rFonts w:ascii="COMTES FHT Standard" w:hAnsi="COMTES FHT Standard"/>
        </w:rPr>
        <w:t>svařovaná kovová konstrukce, hliníkově šedá barva kostry, samonosná síťovina na opěráku. Stohovatelná. S područkami. Opěrák i sedák v červeném provedení.</w:t>
      </w:r>
    </w:p>
    <w:p w:rsidR="00A362C6" w:rsidRDefault="00A362C6">
      <w:pPr>
        <w:spacing w:before="0" w:after="0"/>
        <w:jc w:val="left"/>
        <w:rPr>
          <w:rFonts w:eastAsia="SimSun" w:cs="Lucida Sans"/>
          <w:kern w:val="3"/>
          <w:sz w:val="24"/>
          <w:lang w:eastAsia="zh-CN" w:bidi="hi-IN"/>
        </w:rPr>
      </w:pPr>
      <w:r>
        <w:br w:type="page"/>
      </w:r>
    </w:p>
    <w:p w:rsidR="00A362C6" w:rsidRPr="006B591E" w:rsidRDefault="00A362C6" w:rsidP="00A362C6">
      <w:pPr>
        <w:pStyle w:val="Standard"/>
        <w:numPr>
          <w:ilvl w:val="0"/>
          <w:numId w:val="27"/>
        </w:numPr>
        <w:rPr>
          <w:rFonts w:ascii="COMTES FHT Standard" w:hAnsi="COMTES FHT Standard"/>
          <w:b/>
          <w:bCs/>
          <w:sz w:val="28"/>
          <w:szCs w:val="28"/>
        </w:rPr>
      </w:pPr>
      <w:r w:rsidRPr="006B591E">
        <w:rPr>
          <w:rFonts w:ascii="COMTES FHT Standard" w:hAnsi="COMTES FHT Standard"/>
          <w:b/>
          <w:bCs/>
          <w:sz w:val="28"/>
          <w:szCs w:val="28"/>
        </w:rPr>
        <w:lastRenderedPageBreak/>
        <w:t>Specifikace multifunkční budova</w:t>
      </w:r>
    </w:p>
    <w:p w:rsidR="00A362C6" w:rsidRPr="006B591E" w:rsidRDefault="00A362C6" w:rsidP="00A362C6">
      <w:pPr>
        <w:pStyle w:val="Standard"/>
        <w:rPr>
          <w:rFonts w:ascii="COMTES FHT Standard" w:hAnsi="COMTES FHT Standard"/>
          <w:b/>
          <w:bCs/>
          <w:sz w:val="28"/>
          <w:szCs w:val="28"/>
        </w:rPr>
      </w:pPr>
    </w:p>
    <w:p w:rsidR="00A362C6" w:rsidRPr="006B591E" w:rsidRDefault="00A362C6" w:rsidP="00A362C6">
      <w:pPr>
        <w:pStyle w:val="Standard"/>
        <w:rPr>
          <w:rFonts w:ascii="COMTES FHT Standard" w:hAnsi="COMTES FHT Standard"/>
          <w:b/>
          <w:bCs/>
          <w:sz w:val="28"/>
          <w:szCs w:val="28"/>
        </w:rPr>
      </w:pPr>
      <w:r w:rsidRPr="006B591E">
        <w:rPr>
          <w:rFonts w:ascii="COMTES FHT Standard" w:hAnsi="COMTES FHT Standard"/>
          <w:b/>
          <w:bCs/>
          <w:sz w:val="28"/>
          <w:szCs w:val="28"/>
        </w:rPr>
        <w:t>Recepce</w:t>
      </w:r>
    </w:p>
    <w:p w:rsidR="00A362C6" w:rsidRPr="006B591E" w:rsidRDefault="00A362C6" w:rsidP="00A362C6">
      <w:pPr>
        <w:pStyle w:val="Standard"/>
        <w:rPr>
          <w:rFonts w:ascii="COMTES FHT Standard" w:hAnsi="COMTES FHT Standard"/>
          <w:b/>
          <w:bCs/>
          <w:sz w:val="28"/>
          <w:szCs w:val="28"/>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 xml:space="preserve">Recepce: </w:t>
      </w:r>
      <w:r w:rsidRPr="006B591E">
        <w:rPr>
          <w:rFonts w:ascii="COMTES FHT Standard" w:hAnsi="COMTES FHT Standard"/>
        </w:rPr>
        <w:t>pracovní desky a korpus recepce je v tl.38mm, osazené skleněným panelem o tl.4mm ve vínovém provedení. Na přední plochu recepce je umístěn jednací pult v podobě rámu (boxu) s odkládacím prostorem pro klienta ve formě laminované desky t.38mm. Nohy recepčních stolů jsou vybaveny skrytou rektifikací o celkové nastavitelné výšce 25mm pro dorovnání případných nerovností podlahy. V provedení ořech.</w:t>
      </w:r>
    </w:p>
    <w:p w:rsidR="00A362C6" w:rsidRPr="006B591E" w:rsidRDefault="00A362C6" w:rsidP="00A362C6">
      <w:pPr>
        <w:pStyle w:val="Standard"/>
        <w:jc w:val="both"/>
        <w:rPr>
          <w:rFonts w:ascii="COMTES FHT Standard" w:hAnsi="COMTES FHT Standard"/>
          <w:b/>
          <w:bCs/>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Kontejner:</w:t>
      </w:r>
      <w:r w:rsidRPr="006B591E">
        <w:rPr>
          <w:rFonts w:ascii="COMTES FHT Standard" w:hAnsi="COMTES FHT Standard"/>
        </w:rPr>
        <w:t xml:space="preserve"> korpus kontejneru je vyroben z tl.38mm, veškeré hrany jsou olepeny hranou ABS tl. 2mm. 4 zásuvkový z toho 1 zásuvka je tužkovnice. Kontejner je možný členit pomocí systému přepážek. Zásuvky jsou v kovovém provedení, tužkovnice jako samostatná zásuvka je plastová.</w:t>
      </w:r>
    </w:p>
    <w:p w:rsidR="00A362C6" w:rsidRPr="006B591E" w:rsidRDefault="00A362C6" w:rsidP="00A362C6">
      <w:pPr>
        <w:pStyle w:val="Standard"/>
        <w:jc w:val="both"/>
        <w:rPr>
          <w:rFonts w:ascii="COMTES FHT Standard" w:hAnsi="COMTES FHT Standard"/>
        </w:rPr>
      </w:pPr>
      <w:r w:rsidRPr="006B591E">
        <w:rPr>
          <w:rFonts w:ascii="COMTES FHT Standard" w:hAnsi="COMTES FHT Standard"/>
        </w:rPr>
        <w:t>Kontejner je vybaven centrálním zamykáním a systémem STOP-CONTROL. Kontejner poskytuje doplňkovou odkládací plochu. Úchytka sklopná v ušlechtilém niklovém provedení. V provedení ořech.</w:t>
      </w:r>
    </w:p>
    <w:p w:rsidR="00A362C6" w:rsidRPr="006B591E" w:rsidRDefault="00A362C6" w:rsidP="00A362C6">
      <w:pPr>
        <w:pStyle w:val="Standard"/>
        <w:jc w:val="both"/>
        <w:rPr>
          <w:rFonts w:ascii="COMTES FHT Standard" w:hAnsi="COMTES FHT Standard"/>
          <w:b/>
          <w:bCs/>
          <w:sz w:val="28"/>
          <w:szCs w:val="28"/>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 xml:space="preserve">Kancelářská židle: </w:t>
      </w:r>
      <w:r w:rsidRPr="006B591E">
        <w:rPr>
          <w:rFonts w:ascii="COMTES FHT Standard" w:hAnsi="COMTES FHT Standard"/>
        </w:rPr>
        <w:t>synchronní mechanismus se 4 polohami blokace, nastavení výšky sedáku, studená pěna uvnitř sedáku a samonosná síťovina na opěráku, flexibilní bederní opěrka, výškově stavitelná hlavová opěrka s možností náklonu, výškově stavitelné područky s měkčenou horní plochou, automatické nastavení síly protiváhy podle hmotnosti uživatele, univerzální kolečka pro tvrdou podlahu a koberec. Síťovina černá, sedák červený.</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b/>
          <w:bCs/>
          <w:sz w:val="28"/>
          <w:szCs w:val="28"/>
        </w:rPr>
      </w:pPr>
      <w:r w:rsidRPr="006B591E">
        <w:rPr>
          <w:rFonts w:ascii="COMTES FHT Standard" w:hAnsi="COMTES FHT Standard"/>
          <w:b/>
          <w:bCs/>
          <w:sz w:val="28"/>
          <w:szCs w:val="28"/>
        </w:rPr>
        <w:t>Kuchyň</w:t>
      </w:r>
    </w:p>
    <w:p w:rsidR="00A362C6" w:rsidRPr="006B591E" w:rsidRDefault="00A362C6" w:rsidP="00A362C6">
      <w:pPr>
        <w:pStyle w:val="Standard"/>
        <w:jc w:val="both"/>
        <w:rPr>
          <w:rFonts w:ascii="COMTES FHT Standard" w:hAnsi="COMTES FHT Standard"/>
          <w:b/>
          <w:bCs/>
          <w:sz w:val="28"/>
          <w:szCs w:val="28"/>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 xml:space="preserve">Spodní skříňky: </w:t>
      </w:r>
      <w:r w:rsidRPr="006B591E">
        <w:rPr>
          <w:rFonts w:ascii="COMTES FHT Standard" w:hAnsi="COMTES FHT Standard"/>
        </w:rPr>
        <w:t>korpus skříně je z laminované dřevotřísky o tl.18mm, záda jsou vyrobena z 3mm bílého sololaku. Skříňky jsou opatřeny rektifikačními nožičkami, které lze zakrýt soklem. Lednice a vestavná myčka.</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Vrchní skříňky:</w:t>
      </w:r>
      <w:r w:rsidRPr="006B591E">
        <w:rPr>
          <w:rFonts w:ascii="COMTES FHT Standard" w:hAnsi="COMTES FHT Standard"/>
        </w:rPr>
        <w:t xml:space="preserve"> korpus je z laminované dřevotřískové desky o tloušťce 18</w:t>
      </w:r>
      <w:r w:rsidRPr="006B591E">
        <w:rPr>
          <w:rFonts w:ascii="Arial" w:hAnsi="Arial" w:cs="Arial"/>
        </w:rPr>
        <w:t> </w:t>
      </w:r>
      <w:r w:rsidRPr="006B591E">
        <w:rPr>
          <w:rFonts w:ascii="COMTES FHT Standard" w:hAnsi="COMTES FHT Standard"/>
        </w:rPr>
        <w:t>mm, z</w:t>
      </w:r>
      <w:r w:rsidRPr="006B591E">
        <w:rPr>
          <w:rFonts w:ascii="COMTES FHT Standard" w:hAnsi="COMTES FHT Standard" w:cs="COMTES FHT Standard"/>
        </w:rPr>
        <w:t>á</w:t>
      </w:r>
      <w:r w:rsidRPr="006B591E">
        <w:rPr>
          <w:rFonts w:ascii="COMTES FHT Standard" w:hAnsi="COMTES FHT Standard"/>
        </w:rPr>
        <w:t>da jsou vyrobena z 8</w:t>
      </w:r>
      <w:r w:rsidRPr="006B591E">
        <w:rPr>
          <w:rFonts w:ascii="Arial" w:hAnsi="Arial" w:cs="Arial"/>
        </w:rPr>
        <w:t> </w:t>
      </w:r>
      <w:r w:rsidRPr="006B591E">
        <w:rPr>
          <w:rFonts w:ascii="COMTES FHT Standard" w:hAnsi="COMTES FHT Standard"/>
        </w:rPr>
        <w:t>mm siln</w:t>
      </w:r>
      <w:r w:rsidRPr="006B591E">
        <w:rPr>
          <w:rFonts w:ascii="COMTES FHT Standard" w:hAnsi="COMTES FHT Standard" w:cs="COMTES FHT Standard"/>
        </w:rPr>
        <w:t>é</w:t>
      </w:r>
      <w:r w:rsidRPr="006B591E">
        <w:rPr>
          <w:rFonts w:ascii="COMTES FHT Standard" w:hAnsi="COMTES FHT Standard"/>
        </w:rPr>
        <w:t xml:space="preserve"> laminovan</w:t>
      </w:r>
      <w:r w:rsidRPr="006B591E">
        <w:rPr>
          <w:rFonts w:ascii="COMTES FHT Standard" w:hAnsi="COMTES FHT Standard" w:cs="COMTES FHT Standard"/>
        </w:rPr>
        <w:t>é</w:t>
      </w:r>
      <w:r w:rsidRPr="006B591E">
        <w:rPr>
          <w:rFonts w:ascii="COMTES FHT Standard" w:hAnsi="COMTES FHT Standard"/>
        </w:rPr>
        <w:t xml:space="preserve"> d</w:t>
      </w:r>
      <w:r w:rsidRPr="006B591E">
        <w:rPr>
          <w:rFonts w:ascii="COMTES FHT Standard" w:hAnsi="COMTES FHT Standard" w:cs="COMTES FHT Standard"/>
        </w:rPr>
        <w:t>ř</w:t>
      </w:r>
      <w:r w:rsidRPr="006B591E">
        <w:rPr>
          <w:rFonts w:ascii="COMTES FHT Standard" w:hAnsi="COMTES FHT Standard"/>
        </w:rPr>
        <w:t>evot</w:t>
      </w:r>
      <w:r w:rsidRPr="006B591E">
        <w:rPr>
          <w:rFonts w:ascii="COMTES FHT Standard" w:hAnsi="COMTES FHT Standard" w:cs="COMTES FHT Standard"/>
        </w:rPr>
        <w:t>ří</w:t>
      </w:r>
      <w:r w:rsidRPr="006B591E">
        <w:rPr>
          <w:rFonts w:ascii="COMTES FHT Standard" w:hAnsi="COMTES FHT Standard"/>
        </w:rPr>
        <w:t>sky. Sou</w:t>
      </w:r>
      <w:r w:rsidRPr="006B591E">
        <w:rPr>
          <w:rFonts w:ascii="COMTES FHT Standard" w:hAnsi="COMTES FHT Standard" w:cs="COMTES FHT Standard"/>
        </w:rPr>
        <w:t>čá</w:t>
      </w:r>
      <w:r w:rsidRPr="006B591E">
        <w:rPr>
          <w:rFonts w:ascii="COMTES FHT Standard" w:hAnsi="COMTES FHT Standard"/>
        </w:rPr>
        <w:t>st</w:t>
      </w:r>
      <w:r w:rsidRPr="006B591E">
        <w:rPr>
          <w:rFonts w:ascii="COMTES FHT Standard" w:hAnsi="COMTES FHT Standard" w:cs="COMTES FHT Standard"/>
        </w:rPr>
        <w:t>í</w:t>
      </w:r>
      <w:r w:rsidRPr="006B591E">
        <w:rPr>
          <w:rFonts w:ascii="COMTES FHT Standard" w:hAnsi="COMTES FHT Standard"/>
        </w:rPr>
        <w:t xml:space="preserve"> vrchn</w:t>
      </w:r>
      <w:r w:rsidRPr="006B591E">
        <w:rPr>
          <w:rFonts w:ascii="COMTES FHT Standard" w:hAnsi="COMTES FHT Standard" w:cs="COMTES FHT Standard"/>
        </w:rPr>
        <w:t>í</w:t>
      </w:r>
      <w:r w:rsidRPr="006B591E">
        <w:rPr>
          <w:rFonts w:ascii="COMTES FHT Standard" w:hAnsi="COMTES FHT Standard"/>
        </w:rPr>
        <w:t>ch sk</w:t>
      </w:r>
      <w:r w:rsidRPr="006B591E">
        <w:rPr>
          <w:rFonts w:ascii="COMTES FHT Standard" w:hAnsi="COMTES FHT Standard" w:cs="COMTES FHT Standard"/>
        </w:rPr>
        <w:t>ří</w:t>
      </w:r>
      <w:r w:rsidRPr="006B591E">
        <w:rPr>
          <w:rFonts w:ascii="COMTES FHT Standard" w:hAnsi="COMTES FHT Standard"/>
        </w:rPr>
        <w:t>n</w:t>
      </w:r>
      <w:r w:rsidRPr="006B591E">
        <w:rPr>
          <w:rFonts w:ascii="COMTES FHT Standard" w:hAnsi="COMTES FHT Standard" w:cs="COMTES FHT Standard"/>
        </w:rPr>
        <w:t>ě</w:t>
      </w:r>
      <w:r w:rsidRPr="006B591E">
        <w:rPr>
          <w:rFonts w:ascii="COMTES FHT Standard" w:hAnsi="COMTES FHT Standard"/>
        </w:rPr>
        <w:t>k jsou kvalitn</w:t>
      </w:r>
      <w:r w:rsidRPr="006B591E">
        <w:rPr>
          <w:rFonts w:ascii="COMTES FHT Standard" w:hAnsi="COMTES FHT Standard" w:cs="COMTES FHT Standard"/>
        </w:rPr>
        <w:t>í</w:t>
      </w:r>
      <w:r w:rsidRPr="006B591E">
        <w:rPr>
          <w:rFonts w:ascii="COMTES FHT Standard" w:hAnsi="COMTES FHT Standard"/>
        </w:rPr>
        <w:t xml:space="preserve"> z</w:t>
      </w:r>
      <w:r w:rsidRPr="006B591E">
        <w:rPr>
          <w:rFonts w:ascii="COMTES FHT Standard" w:hAnsi="COMTES FHT Standard" w:cs="COMTES FHT Standard"/>
        </w:rPr>
        <w:t>á</w:t>
      </w:r>
      <w:r w:rsidRPr="006B591E">
        <w:rPr>
          <w:rFonts w:ascii="COMTES FHT Standard" w:hAnsi="COMTES FHT Standard"/>
        </w:rPr>
        <w:t>v</w:t>
      </w:r>
      <w:r w:rsidRPr="006B591E">
        <w:rPr>
          <w:rFonts w:ascii="COMTES FHT Standard" w:hAnsi="COMTES FHT Standard" w:cs="COMTES FHT Standard"/>
        </w:rPr>
        <w:t>ě</w:t>
      </w:r>
      <w:r w:rsidRPr="006B591E">
        <w:rPr>
          <w:rFonts w:ascii="COMTES FHT Standard" w:hAnsi="COMTES FHT Standard"/>
        </w:rPr>
        <w:t>sy s regulac</w:t>
      </w:r>
      <w:r w:rsidRPr="006B591E">
        <w:rPr>
          <w:rFonts w:ascii="COMTES FHT Standard" w:hAnsi="COMTES FHT Standard" w:cs="COMTES FHT Standard"/>
        </w:rPr>
        <w:t>í</w:t>
      </w:r>
      <w:r w:rsidRPr="006B591E">
        <w:rPr>
          <w:rFonts w:ascii="COMTES FHT Standard" w:hAnsi="COMTES FHT Standard"/>
        </w:rPr>
        <w:t>.</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Pracovní deska:</w:t>
      </w:r>
      <w:r w:rsidRPr="006B591E">
        <w:rPr>
          <w:rFonts w:ascii="COMTES FHT Standard" w:hAnsi="COMTES FHT Standard"/>
        </w:rPr>
        <w:t xml:space="preserve"> tloušťka pracovní desky je 28mm s odolností, součástí desky jsou krycí lišty, která zabrání zatékání vody za pracovní desku. Dřez s odkapávačem a pákovou baterií.</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b/>
          <w:bCs/>
          <w:sz w:val="28"/>
          <w:szCs w:val="28"/>
        </w:rPr>
      </w:pPr>
      <w:r w:rsidRPr="006B591E">
        <w:rPr>
          <w:rFonts w:ascii="COMTES FHT Standard" w:hAnsi="COMTES FHT Standard"/>
          <w:b/>
          <w:bCs/>
          <w:sz w:val="28"/>
          <w:szCs w:val="28"/>
        </w:rPr>
        <w:t>Šatna společenská</w:t>
      </w:r>
    </w:p>
    <w:p w:rsidR="00A362C6" w:rsidRPr="006B591E" w:rsidRDefault="00A362C6" w:rsidP="00A362C6">
      <w:pPr>
        <w:pStyle w:val="Standard"/>
        <w:jc w:val="both"/>
        <w:rPr>
          <w:rFonts w:ascii="COMTES FHT Standard" w:hAnsi="COMTES FHT Standard"/>
          <w:b/>
          <w:bCs/>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Věšáková stěna:</w:t>
      </w:r>
      <w:r w:rsidRPr="006B591E">
        <w:rPr>
          <w:rFonts w:ascii="COMTES FHT Standard" w:hAnsi="COMTES FHT Standard"/>
        </w:rPr>
        <w:t xml:space="preserve"> stěna je vyrobena z 18mm silné desky, s odkládací policí, 3 velké háčky, 1 malý háček.</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Lavice:</w:t>
      </w:r>
      <w:r w:rsidRPr="006B591E">
        <w:rPr>
          <w:rFonts w:ascii="COMTES FHT Standard" w:hAnsi="COMTES FHT Standard"/>
        </w:rPr>
        <w:t xml:space="preserve"> kvalitní smrkové dřevo bez suků, pevná kovová kostra, barva světle šedá RAL 7035.</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b/>
          <w:bCs/>
          <w:sz w:val="28"/>
          <w:szCs w:val="28"/>
        </w:rPr>
      </w:pPr>
      <w:r w:rsidRPr="006B591E">
        <w:rPr>
          <w:rFonts w:ascii="COMTES FHT Standard" w:hAnsi="COMTES FHT Standard"/>
          <w:b/>
          <w:bCs/>
          <w:sz w:val="28"/>
          <w:szCs w:val="28"/>
        </w:rPr>
        <w:t>Šatny ženy</w:t>
      </w:r>
    </w:p>
    <w:p w:rsidR="00A362C6" w:rsidRPr="006B591E" w:rsidRDefault="00A362C6" w:rsidP="00A362C6">
      <w:pPr>
        <w:pStyle w:val="Standard"/>
        <w:jc w:val="both"/>
        <w:rPr>
          <w:rFonts w:ascii="COMTES FHT Standard" w:hAnsi="COMTES FHT Standard"/>
          <w:b/>
          <w:bCs/>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Lavice:</w:t>
      </w:r>
      <w:r w:rsidRPr="006B591E">
        <w:rPr>
          <w:rFonts w:ascii="COMTES FHT Standard" w:hAnsi="COMTES FHT Standard"/>
        </w:rPr>
        <w:t xml:space="preserve"> kvalitní smrkové dřevo bez suků, pevná kovová kostra, barva světle šedá RAL 7035.</w:t>
      </w:r>
    </w:p>
    <w:p w:rsidR="00A362C6" w:rsidRPr="006B591E" w:rsidRDefault="00A362C6" w:rsidP="00A362C6">
      <w:pPr>
        <w:pStyle w:val="Standard"/>
        <w:jc w:val="both"/>
        <w:rPr>
          <w:rFonts w:ascii="COMTES FHT Standard" w:hAnsi="COMTES FHT Standard"/>
          <w:b/>
          <w:bCs/>
          <w:sz w:val="28"/>
          <w:szCs w:val="28"/>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 xml:space="preserve">Šatní skříň: </w:t>
      </w:r>
      <w:r w:rsidRPr="006B591E">
        <w:rPr>
          <w:rFonts w:ascii="COMTES FHT Standard" w:hAnsi="COMTES FHT Standard"/>
        </w:rPr>
        <w:t>2dílná kovová šatní skříň, 1 police, pod níž je tyč se 2 posuvnými háčky, dveře disponují větracími otvory, otočný uzávěr pro visací zámek, barva korpusu a dveří světle šedá RAL 7035.</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b/>
          <w:bCs/>
          <w:sz w:val="28"/>
          <w:szCs w:val="28"/>
        </w:rPr>
      </w:pPr>
      <w:r w:rsidRPr="006B591E">
        <w:rPr>
          <w:rFonts w:ascii="COMTES FHT Standard" w:hAnsi="COMTES FHT Standard"/>
          <w:b/>
          <w:bCs/>
          <w:sz w:val="28"/>
          <w:szCs w:val="28"/>
        </w:rPr>
        <w:t>Šatna muži</w:t>
      </w:r>
    </w:p>
    <w:p w:rsidR="00A362C6" w:rsidRPr="006B591E" w:rsidRDefault="00A362C6" w:rsidP="00A362C6">
      <w:pPr>
        <w:pStyle w:val="Standard"/>
        <w:jc w:val="both"/>
        <w:rPr>
          <w:rFonts w:ascii="COMTES FHT Standard" w:hAnsi="COMTES FHT Standard"/>
          <w:b/>
          <w:bCs/>
          <w:sz w:val="28"/>
          <w:szCs w:val="28"/>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Lavice:</w:t>
      </w:r>
      <w:r w:rsidRPr="006B591E">
        <w:rPr>
          <w:rFonts w:ascii="COMTES FHT Standard" w:hAnsi="COMTES FHT Standard"/>
        </w:rPr>
        <w:t xml:space="preserve"> kvalitní smrkové dřevo bez suků, pevná kovová kostra, barva světle šedá RAL 7035.</w:t>
      </w:r>
    </w:p>
    <w:p w:rsidR="00A362C6" w:rsidRPr="006B591E" w:rsidRDefault="00A362C6" w:rsidP="00A362C6">
      <w:pPr>
        <w:pStyle w:val="Standard"/>
        <w:jc w:val="both"/>
        <w:rPr>
          <w:rFonts w:ascii="COMTES FHT Standard" w:hAnsi="COMTES FHT Standard"/>
          <w:b/>
          <w:bCs/>
          <w:sz w:val="28"/>
          <w:szCs w:val="28"/>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 xml:space="preserve">Šatní skříň: </w:t>
      </w:r>
      <w:r w:rsidRPr="006B591E">
        <w:rPr>
          <w:rFonts w:ascii="COMTES FHT Standard" w:hAnsi="COMTES FHT Standard"/>
        </w:rPr>
        <w:t>2dílná kovová šatní skříň, 1 police, pod níž je tyč se 2 posuvnými háčky, dveře disponují větracími otvory, otočný uzávěr pro visací zámek, barva korpusu a dveří světle šedá RAL 7035.</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b/>
          <w:bCs/>
          <w:sz w:val="28"/>
          <w:szCs w:val="28"/>
        </w:rPr>
      </w:pPr>
      <w:r w:rsidRPr="006B591E">
        <w:rPr>
          <w:rFonts w:ascii="COMTES FHT Standard" w:hAnsi="COMTES FHT Standard"/>
          <w:b/>
          <w:bCs/>
          <w:sz w:val="28"/>
          <w:szCs w:val="28"/>
        </w:rPr>
        <w:t>Sál</w:t>
      </w:r>
    </w:p>
    <w:p w:rsidR="00A362C6" w:rsidRPr="006B591E" w:rsidRDefault="00A362C6" w:rsidP="00A362C6">
      <w:pPr>
        <w:pStyle w:val="Standard"/>
        <w:jc w:val="both"/>
        <w:rPr>
          <w:rFonts w:ascii="COMTES FHT Standard" w:hAnsi="COMTES FHT Standard"/>
          <w:b/>
          <w:bCs/>
          <w:sz w:val="28"/>
          <w:szCs w:val="28"/>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 xml:space="preserve">Jednací židle: </w:t>
      </w:r>
      <w:r w:rsidRPr="006B591E">
        <w:rPr>
          <w:rFonts w:ascii="COMTES FHT Standard" w:hAnsi="COMTES FHT Standard"/>
        </w:rPr>
        <w:t>svařovaná kovová konstrukce, hliníkově šedá barva kostry, samonosná síťovina na opěráku. Stohovatelná. S područkami. Opěrák i sedák v červeném provedení.</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Stoly:</w:t>
      </w:r>
      <w:r w:rsidRPr="006B591E">
        <w:rPr>
          <w:rFonts w:ascii="COMTES FHT Standard" w:hAnsi="COMTES FHT Standard"/>
        </w:rPr>
        <w:t xml:space="preserve"> pracovní desky jsou z tl.25mm laminované dřevotřísky, opatřené 2mm hranou ABS, Skládací kovová podnož v chromovém provedení, pro snadné a rychlé rozložení a složení. V provedení višeň.</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Věšák:</w:t>
      </w:r>
      <w:r w:rsidRPr="006B591E">
        <w:rPr>
          <w:rFonts w:ascii="COMTES FHT Standard" w:hAnsi="COMTES FHT Standard"/>
        </w:rPr>
        <w:t xml:space="preserve"> kombinace dřeva, kovu a mramoru, kovové části v odstínu hliník - RAL 9006.</w:t>
      </w:r>
    </w:p>
    <w:p w:rsidR="00A362C6" w:rsidRPr="006B591E" w:rsidRDefault="00A362C6" w:rsidP="00A362C6">
      <w:pPr>
        <w:pStyle w:val="Standard"/>
        <w:jc w:val="both"/>
        <w:rPr>
          <w:rFonts w:ascii="COMTES FHT Standard" w:hAnsi="COMTES FHT Standard"/>
          <w:b/>
          <w:bCs/>
          <w:sz w:val="28"/>
          <w:szCs w:val="28"/>
        </w:rPr>
      </w:pPr>
    </w:p>
    <w:p w:rsidR="00A362C6" w:rsidRPr="006B591E" w:rsidRDefault="00A362C6" w:rsidP="00A362C6">
      <w:pPr>
        <w:pStyle w:val="Standard"/>
        <w:jc w:val="both"/>
        <w:rPr>
          <w:rFonts w:ascii="COMTES FHT Standard" w:hAnsi="COMTES FHT Standard"/>
          <w:b/>
          <w:bCs/>
          <w:sz w:val="28"/>
          <w:szCs w:val="28"/>
        </w:rPr>
      </w:pPr>
      <w:r w:rsidRPr="006B591E">
        <w:rPr>
          <w:rFonts w:ascii="COMTES FHT Standard" w:hAnsi="COMTES FHT Standard"/>
          <w:b/>
          <w:bCs/>
          <w:sz w:val="28"/>
          <w:szCs w:val="28"/>
        </w:rPr>
        <w:t>Zasedací místnosti</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Jednací stoly:</w:t>
      </w:r>
      <w:r w:rsidRPr="006B591E">
        <w:rPr>
          <w:rFonts w:ascii="COMTES FHT Standard" w:hAnsi="COMTES FHT Standard"/>
        </w:rPr>
        <w:t xml:space="preserve"> pracovní deska stolu má tl.25mm, vybavenou 2mm ABS hranou. Podnož je kovováz čtyřhranného profilu 50x50, nohy jsou osazeny výškovou rektifikací, který umožňuje dorovnat nerovnost o 15mm. Stoly jsou osazeny elektrickými otáčecími panely. Otáčení celé zásuvky je prováděno pomocí elektrického motoru s magnetickou spojkou. V provedení višeň/šedý kov</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Skříně:</w:t>
      </w:r>
      <w:r w:rsidRPr="006B591E">
        <w:rPr>
          <w:rFonts w:ascii="COMTES FHT Standard" w:hAnsi="COMTES FHT Standard"/>
        </w:rPr>
        <w:t xml:space="preserve"> korpus skříní s police jsou vyrobeny z tl.18mm laminovaných desek, záda o tl.3mm silných desek HDF, oboustranně pohledová. Dveře mají 22mm ABS hranu. Police jsou polohovatelné, zabezpečené proti vysunutí. Skříně jsou osazeny rektifikacemi, pro dorovnání nerovností podlah. V provedení višeň</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Věšáková stěna:</w:t>
      </w:r>
      <w:r w:rsidRPr="006B591E">
        <w:rPr>
          <w:rFonts w:ascii="COMTES FHT Standard" w:hAnsi="COMTES FHT Standard"/>
        </w:rPr>
        <w:t xml:space="preserve"> stěna je vyrobena z 18mm silné desky, s odkládací policí, 3 velké háčky, 1 malý háček. V provedení višeň.</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Zrcadlová stěna:</w:t>
      </w:r>
      <w:r w:rsidRPr="006B591E">
        <w:rPr>
          <w:rFonts w:ascii="COMTES FHT Standard" w:hAnsi="COMTES FHT Standard"/>
        </w:rPr>
        <w:t xml:space="preserve">  stěna je vyrobena z 18mm silné desky, s odkládacíma policemi, zrcadlo. V provedení višeň.</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 xml:space="preserve">Jednací židle: </w:t>
      </w:r>
      <w:r w:rsidRPr="006B591E">
        <w:rPr>
          <w:rFonts w:ascii="COMTES FHT Standard" w:hAnsi="COMTES FHT Standard"/>
        </w:rPr>
        <w:t>svařovaná kovová konstrukce, hliníkově šedá barva kostry, samonosná síťovina na opěráku. Stohovatelná. S područkami. Opěrák i sedák v červeném provedení.</w:t>
      </w:r>
    </w:p>
    <w:p w:rsidR="00A362C6" w:rsidRPr="006B591E" w:rsidRDefault="00A362C6" w:rsidP="00A362C6">
      <w:pPr>
        <w:pStyle w:val="Standard"/>
        <w:jc w:val="both"/>
        <w:rPr>
          <w:rFonts w:ascii="COMTES FHT Standard" w:hAnsi="COMTES FHT Standard"/>
          <w:b/>
          <w:bCs/>
          <w:sz w:val="28"/>
          <w:szCs w:val="28"/>
        </w:rPr>
      </w:pPr>
    </w:p>
    <w:p w:rsidR="00A362C6" w:rsidRPr="006B591E" w:rsidRDefault="00A362C6" w:rsidP="00A362C6">
      <w:pPr>
        <w:pStyle w:val="Standard"/>
        <w:jc w:val="both"/>
        <w:rPr>
          <w:rFonts w:ascii="COMTES FHT Standard" w:hAnsi="COMTES FHT Standard"/>
          <w:b/>
          <w:bCs/>
          <w:sz w:val="28"/>
          <w:szCs w:val="28"/>
        </w:rPr>
      </w:pPr>
      <w:r w:rsidRPr="006B591E">
        <w:rPr>
          <w:rFonts w:ascii="COMTES FHT Standard" w:hAnsi="COMTES FHT Standard"/>
          <w:b/>
          <w:bCs/>
          <w:sz w:val="28"/>
          <w:szCs w:val="28"/>
        </w:rPr>
        <w:t>Standardní kanceláře</w:t>
      </w:r>
    </w:p>
    <w:p w:rsidR="00A362C6" w:rsidRPr="006B591E" w:rsidRDefault="00A362C6" w:rsidP="00A362C6">
      <w:pPr>
        <w:pStyle w:val="Standard"/>
        <w:jc w:val="both"/>
        <w:rPr>
          <w:rFonts w:ascii="COMTES FHT Standard" w:hAnsi="COMTES FHT Standard"/>
          <w:b/>
          <w:bCs/>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 xml:space="preserve">Stoly: </w:t>
      </w:r>
      <w:r w:rsidRPr="006B591E">
        <w:rPr>
          <w:rFonts w:ascii="COMTES FHT Standard" w:hAnsi="COMTES FHT Standard"/>
        </w:rPr>
        <w:t>ergonomicky tvarované pracovní stoly o tl.25mm, které odpovídají normě ČSN EN 527–1. Hrany stolu jsou vybaveny 2mm ABS hranou, součástí stolu je průchodka na kabely, která kabely svede pod desku, kde se zajistí plastovými držáky. Konstrukce stolů splňuje vysoké nároky na kvalitu a ergonomii (ČSN EN 527–1) a odpovídají tak normám ČSN EN 527–2, ČSN EN 527–3, ČSN 910001 a ČSN 910100. Příčka i boky jsou z plných desek, silné 18mm s 2mm ABS hranou na vnější a vnitřní straně. Nohy jsou osazeny výškově stavitelnou rektifikací. V provedení višeň.</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Kontejner:</w:t>
      </w:r>
      <w:r w:rsidRPr="006B591E">
        <w:rPr>
          <w:rFonts w:ascii="COMTES FHT Standard" w:hAnsi="COMTES FHT Standard"/>
        </w:rPr>
        <w:t xml:space="preserve"> 4 zásuvkový, korpus kontejneru je laminovaná deska o tl.18mm, horní deska je tl.25mm, opatřené ABS hranou o tl.2mm. Kontejner je osazen centrálním zámkem a systémem STOP-CONTROL. Zásuvky jsou z plastu, pro jednoduchou údržbu. Čela zásuvek jsou z 18mm laminované desky s odolnou 2mm ABS hranou. Součástí kontejneru tužkovník a dělící příčky. V provedení višeň.</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Skříně:</w:t>
      </w:r>
      <w:r w:rsidRPr="006B591E">
        <w:rPr>
          <w:rFonts w:ascii="COMTES FHT Standard" w:hAnsi="COMTES FHT Standard"/>
        </w:rPr>
        <w:t xml:space="preserve"> korpus skříní s police jsou vyrobeny z tl.18mm laminovaných desek, záda o tl.3mm silných desek HDF, oboustranně pohledová. Dveře mají 22mm ABS hranu. Police jsou polohovatelné, zabezpečené proti vysunutí. Skříně jsou osazeny rektifikacemi, pro dorovnání nerovností podlah. V provedení višeň.</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Věšáková stěna:</w:t>
      </w:r>
      <w:r w:rsidRPr="006B591E">
        <w:rPr>
          <w:rFonts w:ascii="COMTES FHT Standard" w:hAnsi="COMTES FHT Standard"/>
        </w:rPr>
        <w:t xml:space="preserve"> stěna je vyrobena z 18mm silné desky, s odkládací policí, 3 velké háčky, 1 malý háček. V provedení višeň.</w:t>
      </w:r>
    </w:p>
    <w:p w:rsidR="00A362C6" w:rsidRPr="006B591E" w:rsidRDefault="00A362C6" w:rsidP="00A362C6">
      <w:pPr>
        <w:pStyle w:val="Standard"/>
        <w:jc w:val="both"/>
        <w:rPr>
          <w:rFonts w:ascii="COMTES FHT Standard" w:hAnsi="COMTES FHT Standard"/>
        </w:rPr>
      </w:pPr>
    </w:p>
    <w:p w:rsidR="00A362C6" w:rsidRPr="006B591E" w:rsidRDefault="00A362C6" w:rsidP="00A362C6">
      <w:pPr>
        <w:pStyle w:val="Standard"/>
        <w:jc w:val="both"/>
        <w:rPr>
          <w:rFonts w:ascii="COMTES FHT Standard" w:hAnsi="COMTES FHT Standard"/>
        </w:rPr>
      </w:pPr>
      <w:r w:rsidRPr="006B591E">
        <w:rPr>
          <w:rFonts w:ascii="COMTES FHT Standard" w:hAnsi="COMTES FHT Standard"/>
          <w:b/>
          <w:bCs/>
        </w:rPr>
        <w:t>Kancelářská židle:</w:t>
      </w:r>
      <w:r w:rsidRPr="006B591E">
        <w:rPr>
          <w:rFonts w:ascii="COMTES FHT Standard" w:hAnsi="COMTES FHT Standard"/>
        </w:rPr>
        <w:t xml:space="preserve"> synchronní mechanismus se 4 polohami blokace, nastavení výšky sedáku, studená pěna uvnitř sedáku a samonosná síťovina na opěráku, flexibilní bederní opěrka, výškově stavitelná hlavová opěrka s možností náklonu, výškově stavitelné područky s měkčenou horní plochou, automatické nastavení síly protiváhy podle hmotnosti uživatele, univerzální kolečka pro tvrdou podlahu a koberec. Síťovina černá, sedák červený.</w:t>
      </w: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p>
    <w:p w:rsidR="00D76D04" w:rsidRPr="00D76D04" w:rsidRDefault="00D76D04" w:rsidP="006B20AA">
      <w:pPr>
        <w:pStyle w:val="Standard"/>
        <w:jc w:val="both"/>
        <w:rPr>
          <w:rFonts w:ascii="COMTES FHT Standard" w:hAnsi="COMTES FHT Standard"/>
        </w:rPr>
      </w:pPr>
      <w:r w:rsidRPr="00D76D04">
        <w:rPr>
          <w:rFonts w:ascii="COMTES FHT Standard" w:hAnsi="COMTES FHT Standard"/>
        </w:rPr>
        <w:t xml:space="preserve"> </w:t>
      </w:r>
    </w:p>
    <w:p w:rsidR="00D76D04" w:rsidRPr="00D76D04" w:rsidRDefault="00D76D04" w:rsidP="006B20AA"/>
    <w:p w:rsidR="00976F3C" w:rsidRPr="00D76D04" w:rsidRDefault="00976F3C" w:rsidP="006B20AA"/>
    <w:sectPr w:rsidR="00976F3C" w:rsidRPr="00D76D04" w:rsidSect="003412E8">
      <w:headerReference w:type="default" r:id="rId7"/>
      <w:footerReference w:type="default" r:id="rId8"/>
      <w:type w:val="continuous"/>
      <w:pgSz w:w="11906" w:h="16838" w:code="9"/>
      <w:pgMar w:top="1814" w:right="851" w:bottom="1985" w:left="851"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4F4" w:rsidRDefault="00AD64F4">
      <w:r>
        <w:separator/>
      </w:r>
    </w:p>
  </w:endnote>
  <w:endnote w:type="continuationSeparator" w:id="0">
    <w:p w:rsidR="00AD64F4" w:rsidRDefault="00AD6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92FB8208-08C6-4D95-B243-197A5E81BC63}"/>
  </w:font>
  <w:font w:name="COMTES FHT Standard">
    <w:panose1 w:val="020B0604020202020204"/>
    <w:charset w:val="EE"/>
    <w:family w:val="swiss"/>
    <w:pitch w:val="variable"/>
    <w:sig w:usb0="8000008F" w:usb1="10002042" w:usb2="00000000" w:usb3="00000000" w:csb0="0000009B" w:csb1="00000000"/>
    <w:embedRegular r:id="rId2" w:fontKey="{2BA49FA1-AA8B-4D9A-8EBF-1B59DC92A96D}"/>
    <w:embedBold r:id="rId3" w:fontKey="{215CAB27-63A3-478A-8499-5A6C0211DDA0}"/>
  </w:font>
  <w:font w:name="COMTES FHT Title">
    <w:panose1 w:val="020B0807040502030204"/>
    <w:charset w:val="EE"/>
    <w:family w:val="swiss"/>
    <w:pitch w:val="variable"/>
    <w:sig w:usb0="800000AF" w:usb1="5000204A" w:usb2="00000000" w:usb3="00000000" w:csb0="0000009B" w:csb1="00000000"/>
    <w:embedBold r:id="rId4" w:fontKey="{E9EDBB16-2F06-436E-B6DF-09BC84716BED}"/>
  </w:font>
  <w:font w:name="Arial">
    <w:panose1 w:val="020B0604020202020204"/>
    <w:charset w:val="EE"/>
    <w:family w:val="swiss"/>
    <w:pitch w:val="variable"/>
    <w:sig w:usb0="E0002EFF" w:usb1="C000785B" w:usb2="00000009" w:usb3="00000000" w:csb0="000001FF" w:csb1="00000000"/>
  </w:font>
  <w:font w:name="COMTES FHT Subtitle">
    <w:panose1 w:val="020B0605020202020204"/>
    <w:charset w:val="EE"/>
    <w:family w:val="swiss"/>
    <w:pitch w:val="variable"/>
    <w:sig w:usb0="800000AF" w:usb1="5000204A" w:usb2="00000000" w:usb3="00000000" w:csb0="0000009B" w:csb1="00000000"/>
    <w:embedBold r:id="rId5" w:fontKey="{A773C7AC-5B8A-44A0-8B05-EE372F7C409E}"/>
  </w:font>
  <w:font w:name="Tahoma">
    <w:panose1 w:val="020B0604030504040204"/>
    <w:charset w:val="EE"/>
    <w:family w:val="swiss"/>
    <w:pitch w:val="variable"/>
    <w:sig w:usb0="E1002EFF" w:usb1="C000605B" w:usb2="00000029" w:usb3="00000000" w:csb0="000101FF" w:csb1="00000000"/>
    <w:embedRegular r:id="rId6" w:fontKey="{B5D19501-9689-48B9-B75F-A5CF0D83E475}"/>
  </w:font>
  <w:font w:name="___WRD_EMBED_SUB_40">
    <w:altName w:val="Arial"/>
    <w:panose1 w:val="00000000000000000000"/>
    <w:charset w:val="EE"/>
    <w:family w:val="swiss"/>
    <w:notTrueType/>
    <w:pitch w:val="default"/>
    <w:sig w:usb0="00000007" w:usb1="00000000" w:usb2="00000000" w:usb3="00000000" w:csb0="00000003" w:csb1="00000000"/>
  </w:font>
  <w:font w:name="Calibri">
    <w:panose1 w:val="020F0502020204030204"/>
    <w:charset w:val="EE"/>
    <w:family w:val="swiss"/>
    <w:pitch w:val="variable"/>
    <w:sig w:usb0="E0002AFF" w:usb1="C000247B" w:usb2="00000009" w:usb3="00000000" w:csb0="000001FF" w:csb1="00000000"/>
    <w:embedRegular r:id="rId7" w:fontKey="{45BCECA4-4020-4003-9C34-37738EDF01EB}"/>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Tahoma,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embedRegular r:id="rId8" w:fontKey="{751FB003-41E7-497A-94F1-F0F52BDE80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07"/>
      <w:gridCol w:w="1474"/>
      <w:gridCol w:w="284"/>
      <w:gridCol w:w="284"/>
      <w:gridCol w:w="3572"/>
      <w:gridCol w:w="284"/>
      <w:gridCol w:w="284"/>
      <w:gridCol w:w="2041"/>
      <w:gridCol w:w="284"/>
      <w:gridCol w:w="567"/>
      <w:gridCol w:w="227"/>
    </w:tblGrid>
    <w:tr w:rsidR="00AD64F4" w:rsidRPr="00074EEB" w:rsidTr="00C73E24">
      <w:trPr>
        <w:trHeight w:hRule="exact" w:val="284"/>
      </w:trPr>
      <w:tc>
        <w:tcPr>
          <w:tcW w:w="907" w:type="dxa"/>
          <w:tcBorders>
            <w:top w:val="single" w:sz="4" w:space="0" w:color="F23424"/>
          </w:tcBorders>
        </w:tcPr>
        <w:p w:rsidR="00AD64F4" w:rsidRPr="00074EEB" w:rsidRDefault="00AD64F4" w:rsidP="0042762F">
          <w:pPr>
            <w:spacing w:before="0" w:after="0"/>
            <w:rPr>
              <w:color w:val="666666"/>
              <w:sz w:val="16"/>
              <w:szCs w:val="16"/>
            </w:rPr>
          </w:pPr>
          <w:r>
            <w:rPr>
              <w:noProof/>
              <w:color w:val="666666"/>
              <w:sz w:val="16"/>
              <w:szCs w:val="16"/>
            </w:rPr>
            <w:drawing>
              <wp:anchor distT="0" distB="0" distL="114300" distR="114300" simplePos="0" relativeHeight="251658240" behindDoc="0" locked="1" layoutInCell="1" allowOverlap="1" wp14:anchorId="33B637E3" wp14:editId="708ADB66">
                <wp:simplePos x="0" y="0"/>
                <wp:positionH relativeFrom="column">
                  <wp:posOffset>0</wp:posOffset>
                </wp:positionH>
                <wp:positionV relativeFrom="page">
                  <wp:posOffset>250825</wp:posOffset>
                </wp:positionV>
                <wp:extent cx="389890" cy="389890"/>
                <wp:effectExtent l="19050" t="0" r="0" b="0"/>
                <wp:wrapNone/>
                <wp:docPr id="3" name="obrázek 17" descr="logo_TUV-SUD_(zapati)_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TUV-SUD_(zapati)_8bit"/>
                        <pic:cNvPicPr>
                          <a:picLocks noChangeAspect="1" noChangeArrowheads="1"/>
                        </pic:cNvPicPr>
                      </pic:nvPicPr>
                      <pic:blipFill>
                        <a:blip r:embed="rId1"/>
                        <a:srcRect/>
                        <a:stretch>
                          <a:fillRect/>
                        </a:stretch>
                      </pic:blipFill>
                      <pic:spPr bwMode="auto">
                        <a:xfrm>
                          <a:off x="0" y="0"/>
                          <a:ext cx="389890" cy="389890"/>
                        </a:xfrm>
                        <a:prstGeom prst="rect">
                          <a:avLst/>
                        </a:prstGeom>
                        <a:noFill/>
                        <a:ln w="9525">
                          <a:noFill/>
                          <a:miter lim="800000"/>
                          <a:headEnd/>
                          <a:tailEnd/>
                        </a:ln>
                      </pic:spPr>
                    </pic:pic>
                  </a:graphicData>
                </a:graphic>
              </wp:anchor>
            </w:drawing>
          </w:r>
        </w:p>
      </w:tc>
      <w:tc>
        <w:tcPr>
          <w:tcW w:w="1474" w:type="dxa"/>
          <w:tcBorders>
            <w:top w:val="single" w:sz="4" w:space="0" w:color="F23424"/>
          </w:tcBorders>
        </w:tcPr>
        <w:p w:rsidR="00AD64F4" w:rsidRPr="00074EEB" w:rsidRDefault="00AD64F4" w:rsidP="0042762F">
          <w:pPr>
            <w:spacing w:before="0" w:after="0"/>
            <w:ind w:left="57" w:right="57"/>
            <w:rPr>
              <w:color w:val="666666"/>
              <w:sz w:val="16"/>
              <w:szCs w:val="16"/>
            </w:rPr>
          </w:pPr>
        </w:p>
      </w:tc>
      <w:tc>
        <w:tcPr>
          <w:tcW w:w="284" w:type="dxa"/>
          <w:tcBorders>
            <w:top w:val="single" w:sz="4" w:space="0" w:color="F23424"/>
          </w:tcBorders>
        </w:tcPr>
        <w:p w:rsidR="00AD64F4" w:rsidRPr="00074EEB" w:rsidRDefault="00AD64F4" w:rsidP="0042762F">
          <w:pPr>
            <w:spacing w:before="0" w:after="0"/>
            <w:rPr>
              <w:color w:val="666666"/>
              <w:sz w:val="16"/>
              <w:szCs w:val="16"/>
            </w:rPr>
          </w:pPr>
        </w:p>
      </w:tc>
      <w:tc>
        <w:tcPr>
          <w:tcW w:w="284" w:type="dxa"/>
          <w:tcBorders>
            <w:top w:val="single" w:sz="4" w:space="0" w:color="F23424"/>
          </w:tcBorders>
        </w:tcPr>
        <w:p w:rsidR="00AD64F4" w:rsidRPr="00074EEB" w:rsidRDefault="00AD64F4" w:rsidP="0042762F">
          <w:pPr>
            <w:spacing w:before="0" w:after="0"/>
            <w:rPr>
              <w:color w:val="666666"/>
              <w:sz w:val="16"/>
              <w:szCs w:val="16"/>
            </w:rPr>
          </w:pPr>
        </w:p>
      </w:tc>
      <w:tc>
        <w:tcPr>
          <w:tcW w:w="3572" w:type="dxa"/>
          <w:tcBorders>
            <w:top w:val="single" w:sz="4" w:space="0" w:color="F23424"/>
          </w:tcBorders>
        </w:tcPr>
        <w:p w:rsidR="00AD64F4" w:rsidRPr="00074EEB" w:rsidRDefault="00AD64F4" w:rsidP="0042762F">
          <w:pPr>
            <w:spacing w:before="0" w:after="0"/>
            <w:ind w:left="57" w:right="57"/>
            <w:rPr>
              <w:color w:val="666666"/>
              <w:sz w:val="16"/>
              <w:szCs w:val="16"/>
            </w:rPr>
          </w:pPr>
        </w:p>
      </w:tc>
      <w:tc>
        <w:tcPr>
          <w:tcW w:w="284" w:type="dxa"/>
          <w:tcBorders>
            <w:top w:val="single" w:sz="4" w:space="0" w:color="F23424"/>
          </w:tcBorders>
        </w:tcPr>
        <w:p w:rsidR="00AD64F4" w:rsidRPr="00074EEB" w:rsidRDefault="00AD64F4" w:rsidP="0042762F">
          <w:pPr>
            <w:spacing w:before="0" w:after="0"/>
            <w:rPr>
              <w:color w:val="666666"/>
              <w:sz w:val="16"/>
              <w:szCs w:val="16"/>
            </w:rPr>
          </w:pPr>
        </w:p>
      </w:tc>
      <w:tc>
        <w:tcPr>
          <w:tcW w:w="284" w:type="dxa"/>
          <w:tcBorders>
            <w:top w:val="single" w:sz="4" w:space="0" w:color="F23424"/>
          </w:tcBorders>
        </w:tcPr>
        <w:p w:rsidR="00AD64F4" w:rsidRPr="00074EEB" w:rsidRDefault="00AD64F4" w:rsidP="0042762F">
          <w:pPr>
            <w:spacing w:before="0" w:after="0"/>
            <w:rPr>
              <w:color w:val="666666"/>
              <w:sz w:val="16"/>
              <w:szCs w:val="16"/>
            </w:rPr>
          </w:pPr>
        </w:p>
      </w:tc>
      <w:tc>
        <w:tcPr>
          <w:tcW w:w="2041" w:type="dxa"/>
          <w:tcBorders>
            <w:top w:val="single" w:sz="4" w:space="0" w:color="F23424"/>
          </w:tcBorders>
        </w:tcPr>
        <w:p w:rsidR="00AD64F4" w:rsidRPr="00074EEB" w:rsidRDefault="00AD64F4" w:rsidP="0042762F">
          <w:pPr>
            <w:spacing w:before="0" w:after="0"/>
            <w:ind w:left="57" w:right="57"/>
            <w:rPr>
              <w:color w:val="666666"/>
              <w:sz w:val="16"/>
              <w:szCs w:val="16"/>
            </w:rPr>
          </w:pPr>
        </w:p>
      </w:tc>
      <w:tc>
        <w:tcPr>
          <w:tcW w:w="284" w:type="dxa"/>
          <w:tcBorders>
            <w:top w:val="single" w:sz="4" w:space="0" w:color="F23424"/>
          </w:tcBorders>
        </w:tcPr>
        <w:p w:rsidR="00AD64F4" w:rsidRPr="00074EEB" w:rsidRDefault="00AD64F4" w:rsidP="0042762F">
          <w:pPr>
            <w:spacing w:before="0" w:after="0"/>
            <w:rPr>
              <w:color w:val="666666"/>
              <w:sz w:val="16"/>
              <w:szCs w:val="16"/>
            </w:rPr>
          </w:pPr>
        </w:p>
      </w:tc>
      <w:tc>
        <w:tcPr>
          <w:tcW w:w="567" w:type="dxa"/>
          <w:tcBorders>
            <w:top w:val="single" w:sz="4" w:space="0" w:color="F23424"/>
          </w:tcBorders>
        </w:tcPr>
        <w:p w:rsidR="00AD64F4" w:rsidRPr="00074EEB" w:rsidRDefault="00AD64F4" w:rsidP="0042762F">
          <w:pPr>
            <w:spacing w:before="0" w:after="0"/>
            <w:ind w:right="57"/>
            <w:jc w:val="right"/>
            <w:rPr>
              <w:color w:val="666666"/>
              <w:sz w:val="16"/>
              <w:szCs w:val="16"/>
            </w:rPr>
          </w:pPr>
        </w:p>
      </w:tc>
      <w:tc>
        <w:tcPr>
          <w:tcW w:w="227" w:type="dxa"/>
          <w:tcBorders>
            <w:top w:val="single" w:sz="4" w:space="0" w:color="F23424"/>
          </w:tcBorders>
        </w:tcPr>
        <w:p w:rsidR="00AD64F4" w:rsidRPr="00074EEB" w:rsidRDefault="00AD64F4" w:rsidP="0042762F">
          <w:pPr>
            <w:spacing w:before="0" w:after="0"/>
            <w:rPr>
              <w:color w:val="666666"/>
              <w:sz w:val="16"/>
              <w:szCs w:val="16"/>
            </w:rPr>
          </w:pPr>
        </w:p>
      </w:tc>
    </w:tr>
    <w:tr w:rsidR="00AD64F4" w:rsidRPr="00074EEB" w:rsidTr="0042762F">
      <w:trPr>
        <w:trHeight w:hRule="exact" w:val="907"/>
      </w:trPr>
      <w:tc>
        <w:tcPr>
          <w:tcW w:w="907" w:type="dxa"/>
        </w:tcPr>
        <w:p w:rsidR="00AD64F4" w:rsidRPr="00074EEB" w:rsidRDefault="00AD64F4" w:rsidP="0042762F">
          <w:pPr>
            <w:spacing w:before="0" w:after="0"/>
            <w:rPr>
              <w:color w:val="666666"/>
              <w:sz w:val="16"/>
              <w:szCs w:val="16"/>
            </w:rPr>
          </w:pPr>
        </w:p>
      </w:tc>
      <w:tc>
        <w:tcPr>
          <w:tcW w:w="1474" w:type="dxa"/>
        </w:tcPr>
        <w:p w:rsidR="00AD64F4" w:rsidRPr="00074EEB" w:rsidRDefault="00AD64F4" w:rsidP="0042762F">
          <w:pPr>
            <w:spacing w:before="0" w:after="0"/>
            <w:ind w:left="57" w:right="57"/>
            <w:rPr>
              <w:color w:val="666666"/>
              <w:sz w:val="16"/>
              <w:szCs w:val="16"/>
            </w:rPr>
          </w:pPr>
          <w:r w:rsidRPr="00074EEB">
            <w:rPr>
              <w:color w:val="666666"/>
              <w:sz w:val="16"/>
              <w:szCs w:val="16"/>
            </w:rPr>
            <w:t>COMTES FHT a.s.</w:t>
          </w:r>
        </w:p>
        <w:p w:rsidR="00AD64F4" w:rsidRPr="00074EEB" w:rsidRDefault="00AD64F4" w:rsidP="0042762F">
          <w:pPr>
            <w:spacing w:before="0" w:after="0"/>
            <w:ind w:left="57" w:right="57"/>
            <w:rPr>
              <w:color w:val="666666"/>
              <w:sz w:val="8"/>
              <w:szCs w:val="16"/>
            </w:rPr>
          </w:pPr>
        </w:p>
        <w:p w:rsidR="00AD64F4" w:rsidRPr="00074EEB" w:rsidRDefault="00AD64F4" w:rsidP="0042762F">
          <w:pPr>
            <w:spacing w:before="0" w:after="0"/>
            <w:ind w:left="57" w:right="57"/>
            <w:rPr>
              <w:color w:val="666666"/>
              <w:sz w:val="16"/>
              <w:szCs w:val="16"/>
            </w:rPr>
          </w:pPr>
          <w:r w:rsidRPr="00074EEB">
            <w:rPr>
              <w:color w:val="666666"/>
              <w:sz w:val="16"/>
              <w:szCs w:val="16"/>
            </w:rPr>
            <w:t>Průmyslová 995</w:t>
          </w:r>
        </w:p>
        <w:p w:rsidR="00AD64F4" w:rsidRPr="00074EEB" w:rsidRDefault="00AD64F4" w:rsidP="0042762F">
          <w:pPr>
            <w:spacing w:before="0" w:after="0"/>
            <w:ind w:left="57" w:right="57"/>
            <w:rPr>
              <w:color w:val="666666"/>
              <w:sz w:val="16"/>
              <w:szCs w:val="16"/>
            </w:rPr>
          </w:pPr>
          <w:r w:rsidRPr="00074EEB">
            <w:rPr>
              <w:color w:val="666666"/>
              <w:sz w:val="16"/>
              <w:szCs w:val="16"/>
            </w:rPr>
            <w:t>334 41 Dobřany</w:t>
          </w:r>
        </w:p>
        <w:p w:rsidR="00AD64F4" w:rsidRPr="00074EEB" w:rsidRDefault="00AD64F4" w:rsidP="0042762F">
          <w:pPr>
            <w:spacing w:before="0" w:after="0"/>
            <w:ind w:left="57" w:right="57"/>
            <w:rPr>
              <w:color w:val="666666"/>
              <w:sz w:val="16"/>
              <w:szCs w:val="16"/>
            </w:rPr>
          </w:pPr>
          <w:r w:rsidRPr="00074EEB">
            <w:rPr>
              <w:color w:val="666666"/>
              <w:sz w:val="16"/>
              <w:szCs w:val="16"/>
            </w:rPr>
            <w:t>Česká republika</w:t>
          </w:r>
        </w:p>
      </w:tc>
      <w:tc>
        <w:tcPr>
          <w:tcW w:w="284" w:type="dxa"/>
          <w:tcBorders>
            <w:right w:val="single" w:sz="4" w:space="0" w:color="999999"/>
          </w:tcBorders>
        </w:tcPr>
        <w:p w:rsidR="00AD64F4" w:rsidRPr="00074EEB" w:rsidRDefault="00AD64F4" w:rsidP="0042762F">
          <w:pPr>
            <w:spacing w:before="0" w:after="0"/>
            <w:rPr>
              <w:color w:val="666666"/>
              <w:sz w:val="16"/>
              <w:szCs w:val="16"/>
            </w:rPr>
          </w:pPr>
        </w:p>
      </w:tc>
      <w:tc>
        <w:tcPr>
          <w:tcW w:w="284" w:type="dxa"/>
          <w:tcBorders>
            <w:left w:val="single" w:sz="4" w:space="0" w:color="999999"/>
          </w:tcBorders>
        </w:tcPr>
        <w:p w:rsidR="00AD64F4" w:rsidRPr="00074EEB" w:rsidRDefault="00AD64F4" w:rsidP="0042762F">
          <w:pPr>
            <w:spacing w:before="0" w:after="0"/>
            <w:rPr>
              <w:color w:val="666666"/>
              <w:sz w:val="16"/>
              <w:szCs w:val="16"/>
            </w:rPr>
          </w:pPr>
        </w:p>
      </w:tc>
      <w:tc>
        <w:tcPr>
          <w:tcW w:w="3572" w:type="dxa"/>
        </w:tcPr>
        <w:p w:rsidR="00AD64F4" w:rsidRPr="00074EEB" w:rsidRDefault="00AD64F4" w:rsidP="0042762F">
          <w:pPr>
            <w:tabs>
              <w:tab w:val="left" w:pos="680"/>
            </w:tabs>
            <w:spacing w:before="0" w:after="0"/>
            <w:ind w:left="57" w:right="57"/>
            <w:rPr>
              <w:color w:val="666666"/>
              <w:sz w:val="16"/>
              <w:szCs w:val="16"/>
            </w:rPr>
          </w:pPr>
          <w:r w:rsidRPr="00074EEB">
            <w:rPr>
              <w:color w:val="666666"/>
              <w:sz w:val="16"/>
              <w:szCs w:val="16"/>
            </w:rPr>
            <w:t>IČ:</w:t>
          </w:r>
          <w:r w:rsidRPr="00074EEB">
            <w:rPr>
              <w:color w:val="666666"/>
              <w:sz w:val="16"/>
              <w:szCs w:val="16"/>
            </w:rPr>
            <w:tab/>
            <w:t>263</w:t>
          </w:r>
          <w:r>
            <w:rPr>
              <w:color w:val="666666"/>
              <w:sz w:val="16"/>
              <w:szCs w:val="16"/>
            </w:rPr>
            <w:t> </w:t>
          </w:r>
          <w:r w:rsidRPr="00074EEB">
            <w:rPr>
              <w:color w:val="666666"/>
              <w:sz w:val="16"/>
              <w:szCs w:val="16"/>
            </w:rPr>
            <w:t>16</w:t>
          </w:r>
          <w:r>
            <w:rPr>
              <w:color w:val="666666"/>
              <w:sz w:val="16"/>
              <w:szCs w:val="16"/>
            </w:rPr>
            <w:t> </w:t>
          </w:r>
          <w:r w:rsidRPr="00074EEB">
            <w:rPr>
              <w:color w:val="666666"/>
              <w:sz w:val="16"/>
              <w:szCs w:val="16"/>
            </w:rPr>
            <w:t>919</w:t>
          </w:r>
        </w:p>
        <w:p w:rsidR="00AD64F4" w:rsidRPr="00074EEB" w:rsidRDefault="00AD64F4" w:rsidP="0042762F">
          <w:pPr>
            <w:tabs>
              <w:tab w:val="left" w:pos="680"/>
            </w:tabs>
            <w:spacing w:before="0" w:after="0"/>
            <w:ind w:left="57" w:right="57"/>
            <w:rPr>
              <w:color w:val="666666"/>
              <w:sz w:val="16"/>
              <w:szCs w:val="16"/>
            </w:rPr>
          </w:pPr>
          <w:r w:rsidRPr="00074EEB">
            <w:rPr>
              <w:color w:val="666666"/>
              <w:sz w:val="16"/>
              <w:szCs w:val="16"/>
            </w:rPr>
            <w:t>DIČ:</w:t>
          </w:r>
          <w:r w:rsidRPr="00074EEB">
            <w:rPr>
              <w:color w:val="666666"/>
              <w:sz w:val="16"/>
              <w:szCs w:val="16"/>
            </w:rPr>
            <w:tab/>
            <w:t>CZ</w:t>
          </w:r>
          <w:r>
            <w:rPr>
              <w:color w:val="666666"/>
              <w:sz w:val="16"/>
              <w:szCs w:val="16"/>
            </w:rPr>
            <w:t> </w:t>
          </w:r>
          <w:r w:rsidRPr="00074EEB">
            <w:rPr>
              <w:color w:val="666666"/>
              <w:sz w:val="16"/>
              <w:szCs w:val="16"/>
            </w:rPr>
            <w:t>263</w:t>
          </w:r>
          <w:r>
            <w:rPr>
              <w:color w:val="666666"/>
              <w:sz w:val="16"/>
              <w:szCs w:val="16"/>
            </w:rPr>
            <w:t> </w:t>
          </w:r>
          <w:r w:rsidRPr="00074EEB">
            <w:rPr>
              <w:color w:val="666666"/>
              <w:sz w:val="16"/>
              <w:szCs w:val="16"/>
            </w:rPr>
            <w:t>16</w:t>
          </w:r>
          <w:r>
            <w:rPr>
              <w:color w:val="666666"/>
              <w:sz w:val="16"/>
              <w:szCs w:val="16"/>
            </w:rPr>
            <w:t> </w:t>
          </w:r>
          <w:r w:rsidRPr="00074EEB">
            <w:rPr>
              <w:color w:val="666666"/>
              <w:sz w:val="16"/>
              <w:szCs w:val="16"/>
            </w:rPr>
            <w:t>919</w:t>
          </w:r>
        </w:p>
        <w:p w:rsidR="00AD64F4" w:rsidRPr="00074EEB" w:rsidRDefault="00AD64F4" w:rsidP="0042762F">
          <w:pPr>
            <w:spacing w:before="0" w:after="0"/>
            <w:ind w:left="57" w:right="57"/>
            <w:rPr>
              <w:color w:val="666666"/>
              <w:sz w:val="8"/>
              <w:szCs w:val="16"/>
            </w:rPr>
          </w:pPr>
        </w:p>
        <w:p w:rsidR="00AD64F4" w:rsidRPr="00074EEB" w:rsidRDefault="00AD64F4" w:rsidP="0042762F">
          <w:pPr>
            <w:spacing w:before="0" w:after="0"/>
            <w:ind w:left="57" w:right="57"/>
            <w:rPr>
              <w:color w:val="666666"/>
              <w:sz w:val="16"/>
              <w:szCs w:val="16"/>
            </w:rPr>
          </w:pPr>
          <w:r w:rsidRPr="00074EEB">
            <w:rPr>
              <w:color w:val="666666"/>
              <w:sz w:val="16"/>
              <w:szCs w:val="16"/>
            </w:rPr>
            <w:t>Společnost je vedená:</w:t>
          </w:r>
        </w:p>
        <w:p w:rsidR="00AD64F4" w:rsidRPr="00074EEB" w:rsidRDefault="00AD64F4" w:rsidP="0042762F">
          <w:pPr>
            <w:spacing w:before="0" w:after="0"/>
            <w:ind w:left="57" w:right="57"/>
            <w:rPr>
              <w:color w:val="666666"/>
              <w:sz w:val="16"/>
              <w:szCs w:val="16"/>
            </w:rPr>
          </w:pPr>
          <w:r w:rsidRPr="00074EEB">
            <w:rPr>
              <w:color w:val="666666"/>
              <w:sz w:val="16"/>
              <w:szCs w:val="16"/>
            </w:rPr>
            <w:t>U Krajského soudu v Plzni, oddíl B, vložka 1469</w:t>
          </w:r>
        </w:p>
      </w:tc>
      <w:tc>
        <w:tcPr>
          <w:tcW w:w="284" w:type="dxa"/>
          <w:tcBorders>
            <w:right w:val="single" w:sz="4" w:space="0" w:color="999999"/>
          </w:tcBorders>
        </w:tcPr>
        <w:p w:rsidR="00AD64F4" w:rsidRPr="00074EEB" w:rsidRDefault="00AD64F4" w:rsidP="0042762F">
          <w:pPr>
            <w:spacing w:before="0" w:after="0"/>
            <w:rPr>
              <w:color w:val="666666"/>
              <w:sz w:val="16"/>
              <w:szCs w:val="16"/>
            </w:rPr>
          </w:pPr>
        </w:p>
      </w:tc>
      <w:tc>
        <w:tcPr>
          <w:tcW w:w="284" w:type="dxa"/>
          <w:tcBorders>
            <w:left w:val="single" w:sz="4" w:space="0" w:color="999999"/>
          </w:tcBorders>
        </w:tcPr>
        <w:p w:rsidR="00AD64F4" w:rsidRPr="00074EEB" w:rsidRDefault="00AD64F4" w:rsidP="0042762F">
          <w:pPr>
            <w:spacing w:before="0" w:after="0"/>
            <w:rPr>
              <w:color w:val="666666"/>
              <w:sz w:val="16"/>
              <w:szCs w:val="16"/>
            </w:rPr>
          </w:pPr>
        </w:p>
      </w:tc>
      <w:tc>
        <w:tcPr>
          <w:tcW w:w="2041" w:type="dxa"/>
        </w:tcPr>
        <w:p w:rsidR="00AD64F4" w:rsidRPr="00074EEB" w:rsidRDefault="00AD64F4" w:rsidP="0042762F">
          <w:pPr>
            <w:tabs>
              <w:tab w:val="left" w:pos="340"/>
            </w:tabs>
            <w:spacing w:before="0" w:after="0"/>
            <w:ind w:left="57" w:right="57"/>
            <w:rPr>
              <w:color w:val="666666"/>
              <w:sz w:val="16"/>
              <w:szCs w:val="16"/>
            </w:rPr>
          </w:pPr>
          <w:r w:rsidRPr="00074EEB">
            <w:rPr>
              <w:color w:val="666666"/>
              <w:sz w:val="16"/>
              <w:szCs w:val="16"/>
            </w:rPr>
            <w:t>T:</w:t>
          </w:r>
          <w:r w:rsidRPr="00074EEB">
            <w:rPr>
              <w:color w:val="666666"/>
              <w:sz w:val="16"/>
              <w:szCs w:val="16"/>
            </w:rPr>
            <w:tab/>
            <w:t>+420</w:t>
          </w:r>
          <w:r>
            <w:rPr>
              <w:color w:val="666666"/>
              <w:sz w:val="16"/>
              <w:szCs w:val="16"/>
            </w:rPr>
            <w:t> </w:t>
          </w:r>
          <w:r w:rsidRPr="00074EEB">
            <w:rPr>
              <w:color w:val="666666"/>
              <w:sz w:val="16"/>
              <w:szCs w:val="16"/>
            </w:rPr>
            <w:t>377</w:t>
          </w:r>
          <w:r>
            <w:rPr>
              <w:color w:val="666666"/>
              <w:sz w:val="16"/>
              <w:szCs w:val="16"/>
            </w:rPr>
            <w:t> </w:t>
          </w:r>
          <w:r w:rsidRPr="00074EEB">
            <w:rPr>
              <w:color w:val="666666"/>
              <w:sz w:val="16"/>
              <w:szCs w:val="16"/>
            </w:rPr>
            <w:t>197</w:t>
          </w:r>
          <w:r>
            <w:rPr>
              <w:color w:val="666666"/>
              <w:sz w:val="16"/>
              <w:szCs w:val="16"/>
            </w:rPr>
            <w:t> </w:t>
          </w:r>
          <w:r w:rsidRPr="00074EEB">
            <w:rPr>
              <w:color w:val="666666"/>
              <w:sz w:val="16"/>
              <w:szCs w:val="16"/>
            </w:rPr>
            <w:t>311</w:t>
          </w:r>
        </w:p>
        <w:p w:rsidR="00AD64F4" w:rsidRPr="00074EEB" w:rsidRDefault="00AD64F4" w:rsidP="0042762F">
          <w:pPr>
            <w:tabs>
              <w:tab w:val="left" w:pos="340"/>
            </w:tabs>
            <w:spacing w:before="0" w:after="0"/>
            <w:ind w:left="57" w:right="57"/>
            <w:rPr>
              <w:color w:val="666666"/>
              <w:sz w:val="16"/>
              <w:szCs w:val="16"/>
            </w:rPr>
          </w:pPr>
          <w:r w:rsidRPr="00074EEB">
            <w:rPr>
              <w:color w:val="666666"/>
              <w:sz w:val="16"/>
              <w:szCs w:val="16"/>
            </w:rPr>
            <w:t>F:</w:t>
          </w:r>
          <w:r w:rsidRPr="00074EEB">
            <w:rPr>
              <w:color w:val="666666"/>
              <w:sz w:val="16"/>
              <w:szCs w:val="16"/>
            </w:rPr>
            <w:tab/>
            <w:t>+420</w:t>
          </w:r>
          <w:r>
            <w:rPr>
              <w:color w:val="666666"/>
              <w:sz w:val="16"/>
              <w:szCs w:val="16"/>
            </w:rPr>
            <w:t> </w:t>
          </w:r>
          <w:r w:rsidRPr="00074EEB">
            <w:rPr>
              <w:color w:val="666666"/>
              <w:sz w:val="16"/>
              <w:szCs w:val="16"/>
            </w:rPr>
            <w:t>377</w:t>
          </w:r>
          <w:r>
            <w:rPr>
              <w:color w:val="666666"/>
              <w:sz w:val="16"/>
              <w:szCs w:val="16"/>
            </w:rPr>
            <w:t> </w:t>
          </w:r>
          <w:r w:rsidRPr="00074EEB">
            <w:rPr>
              <w:color w:val="666666"/>
              <w:sz w:val="16"/>
              <w:szCs w:val="16"/>
            </w:rPr>
            <w:t>197</w:t>
          </w:r>
          <w:r>
            <w:rPr>
              <w:color w:val="666666"/>
              <w:sz w:val="16"/>
              <w:szCs w:val="16"/>
            </w:rPr>
            <w:t> </w:t>
          </w:r>
          <w:r w:rsidRPr="00074EEB">
            <w:rPr>
              <w:color w:val="666666"/>
              <w:sz w:val="16"/>
              <w:szCs w:val="16"/>
            </w:rPr>
            <w:t>310</w:t>
          </w:r>
        </w:p>
        <w:p w:rsidR="00AD64F4" w:rsidRPr="00074EEB" w:rsidRDefault="00AD64F4" w:rsidP="0042762F">
          <w:pPr>
            <w:tabs>
              <w:tab w:val="left" w:pos="340"/>
            </w:tabs>
            <w:spacing w:before="0" w:after="0"/>
            <w:ind w:left="57" w:right="57"/>
            <w:rPr>
              <w:color w:val="666666"/>
              <w:sz w:val="16"/>
              <w:szCs w:val="16"/>
            </w:rPr>
          </w:pPr>
          <w:r w:rsidRPr="00074EEB">
            <w:rPr>
              <w:color w:val="666666"/>
              <w:sz w:val="16"/>
              <w:szCs w:val="16"/>
            </w:rPr>
            <w:t>E:</w:t>
          </w:r>
          <w:r w:rsidRPr="00074EEB">
            <w:rPr>
              <w:color w:val="666666"/>
              <w:sz w:val="16"/>
              <w:szCs w:val="16"/>
            </w:rPr>
            <w:tab/>
            <w:t>comtes@comtesfht.cz</w:t>
          </w:r>
        </w:p>
        <w:p w:rsidR="00AD64F4" w:rsidRPr="00074EEB" w:rsidRDefault="00AD64F4" w:rsidP="0042762F">
          <w:pPr>
            <w:tabs>
              <w:tab w:val="left" w:pos="340"/>
            </w:tabs>
            <w:spacing w:before="0" w:after="0"/>
            <w:ind w:left="57" w:right="57"/>
            <w:rPr>
              <w:color w:val="666666"/>
              <w:sz w:val="8"/>
              <w:szCs w:val="16"/>
            </w:rPr>
          </w:pPr>
          <w:r w:rsidRPr="00074EEB">
            <w:rPr>
              <w:color w:val="666666"/>
              <w:sz w:val="8"/>
              <w:szCs w:val="16"/>
            </w:rPr>
            <w:tab/>
          </w:r>
        </w:p>
        <w:p w:rsidR="00AD64F4" w:rsidRPr="00074EEB" w:rsidRDefault="00AD64F4" w:rsidP="0042762F">
          <w:pPr>
            <w:tabs>
              <w:tab w:val="left" w:pos="340"/>
            </w:tabs>
            <w:spacing w:before="0" w:after="0"/>
            <w:ind w:left="57" w:right="57"/>
            <w:rPr>
              <w:color w:val="F23424"/>
              <w:sz w:val="16"/>
              <w:szCs w:val="16"/>
            </w:rPr>
          </w:pPr>
          <w:r w:rsidRPr="00074EEB">
            <w:rPr>
              <w:color w:val="666666"/>
              <w:sz w:val="16"/>
              <w:szCs w:val="16"/>
            </w:rPr>
            <w:tab/>
          </w:r>
          <w:r w:rsidRPr="00074EEB">
            <w:rPr>
              <w:color w:val="F23424"/>
              <w:sz w:val="16"/>
              <w:szCs w:val="16"/>
            </w:rPr>
            <w:t>www.comtesfht.cz</w:t>
          </w:r>
        </w:p>
      </w:tc>
      <w:tc>
        <w:tcPr>
          <w:tcW w:w="284" w:type="dxa"/>
          <w:tcBorders>
            <w:right w:val="single" w:sz="4" w:space="0" w:color="999999"/>
          </w:tcBorders>
        </w:tcPr>
        <w:p w:rsidR="00AD64F4" w:rsidRPr="00074EEB" w:rsidRDefault="00AD64F4" w:rsidP="0042762F">
          <w:pPr>
            <w:spacing w:before="0" w:after="0"/>
            <w:rPr>
              <w:color w:val="666666"/>
              <w:sz w:val="16"/>
              <w:szCs w:val="16"/>
            </w:rPr>
          </w:pPr>
        </w:p>
      </w:tc>
      <w:tc>
        <w:tcPr>
          <w:tcW w:w="567" w:type="dxa"/>
          <w:tcBorders>
            <w:left w:val="single" w:sz="4" w:space="0" w:color="999999"/>
          </w:tcBorders>
          <w:vAlign w:val="center"/>
        </w:tcPr>
        <w:p w:rsidR="00AD64F4" w:rsidRPr="00074EEB" w:rsidRDefault="00AD64F4" w:rsidP="0042762F">
          <w:pPr>
            <w:spacing w:before="0" w:after="0"/>
            <w:ind w:right="57"/>
            <w:jc w:val="right"/>
            <w:rPr>
              <w:color w:val="666666"/>
              <w:sz w:val="16"/>
              <w:szCs w:val="16"/>
            </w:rPr>
          </w:pPr>
          <w:r>
            <w:rPr>
              <w:color w:val="666666"/>
              <w:sz w:val="16"/>
              <w:szCs w:val="16"/>
            </w:rPr>
            <w:fldChar w:fldCharType="begin"/>
          </w:r>
          <w:r>
            <w:rPr>
              <w:color w:val="666666"/>
              <w:sz w:val="16"/>
              <w:szCs w:val="16"/>
            </w:rPr>
            <w:instrText xml:space="preserve"> PAGE  \* Arabic  \* MERGEFORMAT </w:instrText>
          </w:r>
          <w:r>
            <w:rPr>
              <w:color w:val="666666"/>
              <w:sz w:val="16"/>
              <w:szCs w:val="16"/>
            </w:rPr>
            <w:fldChar w:fldCharType="separate"/>
          </w:r>
          <w:r w:rsidR="00175605">
            <w:rPr>
              <w:noProof/>
              <w:color w:val="666666"/>
              <w:sz w:val="16"/>
              <w:szCs w:val="16"/>
            </w:rPr>
            <w:t>5</w:t>
          </w:r>
          <w:r>
            <w:rPr>
              <w:color w:val="666666"/>
              <w:sz w:val="16"/>
              <w:szCs w:val="16"/>
            </w:rPr>
            <w:fldChar w:fldCharType="end"/>
          </w:r>
          <w:r>
            <w:rPr>
              <w:color w:val="666666"/>
              <w:sz w:val="16"/>
              <w:szCs w:val="16"/>
            </w:rPr>
            <w:t>/</w:t>
          </w:r>
          <w:r w:rsidR="00D76D04">
            <w:rPr>
              <w:noProof/>
              <w:color w:val="666666"/>
              <w:sz w:val="16"/>
              <w:szCs w:val="16"/>
            </w:rPr>
            <w:fldChar w:fldCharType="begin"/>
          </w:r>
          <w:r w:rsidR="00D76D04">
            <w:rPr>
              <w:noProof/>
              <w:color w:val="666666"/>
              <w:sz w:val="16"/>
              <w:szCs w:val="16"/>
            </w:rPr>
            <w:instrText xml:space="preserve"> NUMPAGES  \* Arabic  \* MERGEFORMAT </w:instrText>
          </w:r>
          <w:r w:rsidR="00D76D04">
            <w:rPr>
              <w:noProof/>
              <w:color w:val="666666"/>
              <w:sz w:val="16"/>
              <w:szCs w:val="16"/>
            </w:rPr>
            <w:fldChar w:fldCharType="separate"/>
          </w:r>
          <w:r w:rsidR="00175605">
            <w:rPr>
              <w:noProof/>
              <w:color w:val="666666"/>
              <w:sz w:val="16"/>
              <w:szCs w:val="16"/>
            </w:rPr>
            <w:t>8</w:t>
          </w:r>
          <w:r w:rsidR="00D76D04">
            <w:rPr>
              <w:noProof/>
              <w:color w:val="666666"/>
              <w:sz w:val="16"/>
              <w:szCs w:val="16"/>
            </w:rPr>
            <w:fldChar w:fldCharType="end"/>
          </w:r>
        </w:p>
      </w:tc>
      <w:tc>
        <w:tcPr>
          <w:tcW w:w="227" w:type="dxa"/>
        </w:tcPr>
        <w:p w:rsidR="00AD64F4" w:rsidRPr="00074EEB" w:rsidRDefault="00AD64F4" w:rsidP="0042762F">
          <w:pPr>
            <w:spacing w:before="0" w:after="0"/>
            <w:rPr>
              <w:color w:val="666666"/>
              <w:sz w:val="16"/>
              <w:szCs w:val="16"/>
            </w:rPr>
          </w:pPr>
        </w:p>
      </w:tc>
    </w:tr>
  </w:tbl>
  <w:p w:rsidR="00AD64F4" w:rsidRPr="009B2F08" w:rsidRDefault="00AD64F4" w:rsidP="0042762F">
    <w:pPr>
      <w:pStyle w:val="Zpat"/>
      <w:spacing w:before="0" w:after="0"/>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4F4" w:rsidRDefault="00AD64F4">
      <w:r>
        <w:separator/>
      </w:r>
    </w:p>
  </w:footnote>
  <w:footnote w:type="continuationSeparator" w:id="0">
    <w:p w:rsidR="00AD64F4" w:rsidRDefault="00AD6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Layout w:type="fixed"/>
      <w:tblCellMar>
        <w:left w:w="0" w:type="dxa"/>
        <w:right w:w="0" w:type="dxa"/>
      </w:tblCellMar>
      <w:tblLook w:val="01E0" w:firstRow="1" w:lastRow="1" w:firstColumn="1" w:lastColumn="1" w:noHBand="0" w:noVBand="0"/>
    </w:tblPr>
    <w:tblGrid>
      <w:gridCol w:w="3969"/>
      <w:gridCol w:w="6237"/>
    </w:tblGrid>
    <w:tr w:rsidR="00AD64F4" w:rsidRPr="002B485A" w:rsidTr="002B485A">
      <w:trPr>
        <w:trHeight w:hRule="exact" w:val="680"/>
      </w:trPr>
      <w:tc>
        <w:tcPr>
          <w:tcW w:w="3969" w:type="dxa"/>
        </w:tcPr>
        <w:p w:rsidR="00AD64F4" w:rsidRPr="002B485A" w:rsidRDefault="00AD64F4" w:rsidP="005D7C43">
          <w:pPr>
            <w:rPr>
              <w:sz w:val="16"/>
            </w:rPr>
          </w:pPr>
          <w:r>
            <w:rPr>
              <w:noProof/>
              <w:sz w:val="16"/>
            </w:rPr>
            <w:drawing>
              <wp:anchor distT="0" distB="0" distL="114300" distR="114300" simplePos="0" relativeHeight="251657728" behindDoc="0" locked="1" layoutInCell="1" allowOverlap="1" wp14:anchorId="3D241A29" wp14:editId="2D0C5BAC">
                <wp:simplePos x="0" y="0"/>
                <wp:positionH relativeFrom="column">
                  <wp:posOffset>5080</wp:posOffset>
                </wp:positionH>
                <wp:positionV relativeFrom="page">
                  <wp:posOffset>11430</wp:posOffset>
                </wp:positionV>
                <wp:extent cx="2184400" cy="488950"/>
                <wp:effectExtent l="19050" t="0" r="6350" b="0"/>
                <wp:wrapNone/>
                <wp:docPr id="1" name="obrázek 6" descr="logo_COMTES-FHT_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COMTES-FHT_8bit"/>
                        <pic:cNvPicPr>
                          <a:picLocks noChangeAspect="1" noChangeArrowheads="1"/>
                        </pic:cNvPicPr>
                      </pic:nvPicPr>
                      <pic:blipFill>
                        <a:blip r:embed="rId1"/>
                        <a:srcRect/>
                        <a:stretch>
                          <a:fillRect/>
                        </a:stretch>
                      </pic:blipFill>
                      <pic:spPr bwMode="auto">
                        <a:xfrm>
                          <a:off x="0" y="0"/>
                          <a:ext cx="2184400" cy="488950"/>
                        </a:xfrm>
                        <a:prstGeom prst="rect">
                          <a:avLst/>
                        </a:prstGeom>
                        <a:noFill/>
                        <a:ln w="9525">
                          <a:noFill/>
                          <a:miter lim="800000"/>
                          <a:headEnd/>
                          <a:tailEnd/>
                        </a:ln>
                      </pic:spPr>
                    </pic:pic>
                  </a:graphicData>
                </a:graphic>
              </wp:anchor>
            </w:drawing>
          </w:r>
        </w:p>
      </w:tc>
      <w:tc>
        <w:tcPr>
          <w:tcW w:w="6237" w:type="dxa"/>
          <w:tcBorders>
            <w:bottom w:val="single" w:sz="4" w:space="0" w:color="999999"/>
          </w:tcBorders>
        </w:tcPr>
        <w:tbl>
          <w:tblPr>
            <w:tblW w:w="10206" w:type="dxa"/>
            <w:tblLayout w:type="fixed"/>
            <w:tblCellMar>
              <w:left w:w="0" w:type="dxa"/>
              <w:right w:w="0" w:type="dxa"/>
            </w:tblCellMar>
            <w:tblLook w:val="01E0" w:firstRow="1" w:lastRow="1" w:firstColumn="1" w:lastColumn="1" w:noHBand="0" w:noVBand="0"/>
          </w:tblPr>
          <w:tblGrid>
            <w:gridCol w:w="6237"/>
            <w:gridCol w:w="3969"/>
          </w:tblGrid>
          <w:tr w:rsidR="00AD64F4" w:rsidRPr="002B485A" w:rsidTr="00411B57">
            <w:trPr>
              <w:gridAfter w:val="1"/>
              <w:wAfter w:w="3969" w:type="dxa"/>
              <w:trHeight w:hRule="exact" w:val="680"/>
            </w:trPr>
            <w:tc>
              <w:tcPr>
                <w:tcW w:w="6237" w:type="dxa"/>
                <w:tcBorders>
                  <w:bottom w:val="single" w:sz="4" w:space="0" w:color="999999"/>
                </w:tcBorders>
              </w:tcPr>
              <w:p w:rsidR="00AD64F4" w:rsidRPr="002B485A" w:rsidRDefault="00AD64F4" w:rsidP="005D4D25">
                <w:pPr>
                  <w:jc w:val="right"/>
                  <w:rPr>
                    <w:sz w:val="16"/>
                  </w:rPr>
                </w:pPr>
                <w:r>
                  <w:rPr>
                    <w:noProof/>
                    <w:sz w:val="16"/>
                  </w:rPr>
                  <w:drawing>
                    <wp:anchor distT="0" distB="0" distL="114300" distR="114300" simplePos="0" relativeHeight="251658752" behindDoc="1" locked="0" layoutInCell="1" allowOverlap="1" wp14:anchorId="66E5CC4C" wp14:editId="18DB5F4C">
                      <wp:simplePos x="0" y="0"/>
                      <wp:positionH relativeFrom="column">
                        <wp:posOffset>1797050</wp:posOffset>
                      </wp:positionH>
                      <wp:positionV relativeFrom="page">
                        <wp:posOffset>-169545</wp:posOffset>
                      </wp:positionV>
                      <wp:extent cx="2038350" cy="638175"/>
                      <wp:effectExtent l="0" t="0" r="0" b="952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8350" cy="638175"/>
                              </a:xfrm>
                              <a:prstGeom prst="rect">
                                <a:avLst/>
                              </a:prstGeom>
                              <a:noFill/>
                            </pic:spPr>
                          </pic:pic>
                        </a:graphicData>
                      </a:graphic>
                      <wp14:sizeRelH relativeFrom="margin">
                        <wp14:pctWidth>0</wp14:pctWidth>
                      </wp14:sizeRelH>
                      <wp14:sizeRelV relativeFrom="margin">
                        <wp14:pctHeight>0</wp14:pctHeight>
                      </wp14:sizeRelV>
                    </wp:anchor>
                  </w:drawing>
                </w:r>
              </w:p>
            </w:tc>
          </w:tr>
          <w:tr w:rsidR="00AD64F4" w:rsidRPr="002B485A" w:rsidTr="00411B57">
            <w:trPr>
              <w:trHeight w:hRule="exact" w:val="227"/>
            </w:trPr>
            <w:tc>
              <w:tcPr>
                <w:tcW w:w="10206" w:type="dxa"/>
                <w:gridSpan w:val="2"/>
                <w:vAlign w:val="bottom"/>
              </w:tcPr>
              <w:p w:rsidR="00AD64F4" w:rsidRPr="002B485A" w:rsidRDefault="00AD64F4" w:rsidP="005D4D25">
                <w:pPr>
                  <w:rPr>
                    <w:sz w:val="16"/>
                  </w:rPr>
                </w:pPr>
              </w:p>
            </w:tc>
          </w:tr>
        </w:tbl>
        <w:p w:rsidR="00AD64F4" w:rsidRPr="002B485A" w:rsidRDefault="00AD64F4" w:rsidP="005D7C43">
          <w:pPr>
            <w:rPr>
              <w:sz w:val="16"/>
            </w:rPr>
          </w:pPr>
        </w:p>
      </w:tc>
    </w:tr>
    <w:tr w:rsidR="00AD64F4" w:rsidRPr="002B485A" w:rsidTr="002B485A">
      <w:trPr>
        <w:trHeight w:hRule="exact" w:val="227"/>
      </w:trPr>
      <w:tc>
        <w:tcPr>
          <w:tcW w:w="10206" w:type="dxa"/>
          <w:gridSpan w:val="2"/>
          <w:vAlign w:val="bottom"/>
        </w:tcPr>
        <w:p w:rsidR="00AD64F4" w:rsidRPr="002B485A" w:rsidRDefault="00AD64F4" w:rsidP="005D7C43">
          <w:pPr>
            <w:rPr>
              <w:sz w:val="16"/>
            </w:rPr>
          </w:pPr>
        </w:p>
      </w:tc>
    </w:tr>
  </w:tbl>
  <w:p w:rsidR="00AD64F4" w:rsidRPr="0076038F" w:rsidRDefault="00AD64F4" w:rsidP="00C51522">
    <w:pPr>
      <w:pStyle w:val="Zhlav"/>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2D4C"/>
    <w:multiLevelType w:val="hybridMultilevel"/>
    <w:tmpl w:val="D3ECC6E8"/>
    <w:lvl w:ilvl="0" w:tplc="04050001">
      <w:start w:val="1"/>
      <w:numFmt w:val="bullet"/>
      <w:lvlText w:val=""/>
      <w:lvlJc w:val="left"/>
      <w:pPr>
        <w:ind w:left="1065" w:hanging="705"/>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776666"/>
    <w:multiLevelType w:val="hybridMultilevel"/>
    <w:tmpl w:val="4D60DF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7F439E"/>
    <w:multiLevelType w:val="hybridMultilevel"/>
    <w:tmpl w:val="98FEC3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137290"/>
    <w:multiLevelType w:val="multilevel"/>
    <w:tmpl w:val="A72EFA26"/>
    <w:lvl w:ilvl="0">
      <w:start w:val="1"/>
      <w:numFmt w:val="decimal"/>
      <w:pStyle w:val="Nadpis1"/>
      <w:lvlText w:val="%1"/>
      <w:lvlJc w:val="left"/>
      <w:pPr>
        <w:tabs>
          <w:tab w:val="num" w:pos="510"/>
        </w:tabs>
        <w:ind w:left="510" w:hanging="510"/>
      </w:pPr>
      <w:rPr>
        <w:rFonts w:hint="default"/>
      </w:rPr>
    </w:lvl>
    <w:lvl w:ilvl="1">
      <w:start w:val="1"/>
      <w:numFmt w:val="decimal"/>
      <w:pStyle w:val="Nadpis2"/>
      <w:lvlText w:val="%1.%2"/>
      <w:lvlJc w:val="left"/>
      <w:pPr>
        <w:tabs>
          <w:tab w:val="num" w:pos="680"/>
        </w:tabs>
        <w:ind w:left="680" w:hanging="680"/>
      </w:pPr>
      <w:rPr>
        <w:rFonts w:hint="default"/>
      </w:rPr>
    </w:lvl>
    <w:lvl w:ilvl="2">
      <w:start w:val="1"/>
      <w:numFmt w:val="decimal"/>
      <w:pStyle w:val="Nadpis3"/>
      <w:lvlText w:val="%1.%2.%3"/>
      <w:lvlJc w:val="left"/>
      <w:pPr>
        <w:tabs>
          <w:tab w:val="num" w:pos="1080"/>
        </w:tabs>
        <w:ind w:left="851" w:hanging="851"/>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lvlRestart w:val="3"/>
      <w:suff w:val="nothing"/>
      <w:lvlText w:val="%1.%2.%3.%4.%5.%6.%7.%8.%9"/>
      <w:lvlJc w:val="left"/>
      <w:pPr>
        <w:ind w:left="0" w:firstLine="0"/>
      </w:pPr>
      <w:rPr>
        <w:rFonts w:hint="default"/>
      </w:rPr>
    </w:lvl>
  </w:abstractNum>
  <w:abstractNum w:abstractNumId="4" w15:restartNumberingAfterBreak="0">
    <w:nsid w:val="14F82BF0"/>
    <w:multiLevelType w:val="hybridMultilevel"/>
    <w:tmpl w:val="88743F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FF815DA"/>
    <w:multiLevelType w:val="multilevel"/>
    <w:tmpl w:val="7F707E72"/>
    <w:styleLink w:val="Seznamslovan"/>
    <w:lvl w:ilvl="0">
      <w:start w:val="1"/>
      <w:numFmt w:val="decimal"/>
      <w:lvlText w:val="%1."/>
      <w:lvlJc w:val="left"/>
      <w:pPr>
        <w:tabs>
          <w:tab w:val="num" w:pos="641"/>
        </w:tabs>
        <w:ind w:left="641" w:hanging="357"/>
      </w:pPr>
      <w:rPr>
        <w:rFonts w:hint="default"/>
        <w:color w:val="auto"/>
      </w:rPr>
    </w:lvl>
    <w:lvl w:ilvl="1">
      <w:start w:val="1"/>
      <w:numFmt w:val="lowerLetter"/>
      <w:lvlText w:val="%2)"/>
      <w:lvlJc w:val="left"/>
      <w:pPr>
        <w:tabs>
          <w:tab w:val="num" w:pos="924"/>
        </w:tabs>
        <w:ind w:left="924" w:hanging="357"/>
      </w:pPr>
      <w:rPr>
        <w:rFonts w:hint="default"/>
      </w:rPr>
    </w:lvl>
    <w:lvl w:ilvl="2">
      <w:start w:val="1"/>
      <w:numFmt w:val="lowerRoman"/>
      <w:lvlText w:val="%3)"/>
      <w:lvlJc w:val="left"/>
      <w:pPr>
        <w:tabs>
          <w:tab w:val="num" w:pos="1208"/>
        </w:tabs>
        <w:ind w:left="1208" w:hanging="357"/>
      </w:pPr>
      <w:rPr>
        <w:rFonts w:hint="default"/>
      </w:rPr>
    </w:lvl>
    <w:lvl w:ilvl="3">
      <w:start w:val="1"/>
      <w:numFmt w:val="decimal"/>
      <w:lvlText w:val="%4)"/>
      <w:lvlJc w:val="left"/>
      <w:pPr>
        <w:tabs>
          <w:tab w:val="num" w:pos="1440"/>
        </w:tabs>
        <w:ind w:left="1440" w:hanging="360"/>
      </w:pPr>
      <w:rPr>
        <w:rFonts w:hint="default"/>
        <w:color w:val="auto"/>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color w:val="auto"/>
      </w:rPr>
    </w:lvl>
    <w:lvl w:ilvl="8">
      <w:start w:val="1"/>
      <w:numFmt w:val="lowerRoman"/>
      <w:lvlText w:val="%9."/>
      <w:lvlJc w:val="left"/>
      <w:pPr>
        <w:tabs>
          <w:tab w:val="num" w:pos="3240"/>
        </w:tabs>
        <w:ind w:left="3240" w:hanging="360"/>
      </w:pPr>
      <w:rPr>
        <w:rFonts w:hint="default"/>
        <w:color w:val="auto"/>
      </w:rPr>
    </w:lvl>
  </w:abstractNum>
  <w:abstractNum w:abstractNumId="6" w15:restartNumberingAfterBreak="0">
    <w:nsid w:val="20E35051"/>
    <w:multiLevelType w:val="hybridMultilevel"/>
    <w:tmpl w:val="FC423C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176612C"/>
    <w:multiLevelType w:val="hybridMultilevel"/>
    <w:tmpl w:val="67745D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289295B"/>
    <w:multiLevelType w:val="hybridMultilevel"/>
    <w:tmpl w:val="64FA68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4923729"/>
    <w:multiLevelType w:val="hybridMultilevel"/>
    <w:tmpl w:val="B6F690E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27D37F25"/>
    <w:multiLevelType w:val="multilevel"/>
    <w:tmpl w:val="D0CA61FA"/>
    <w:styleLink w:val="Seznamodrky"/>
    <w:lvl w:ilvl="0">
      <w:start w:val="1"/>
      <w:numFmt w:val="bullet"/>
      <w:lvlText w:val=""/>
      <w:lvlJc w:val="left"/>
      <w:pPr>
        <w:tabs>
          <w:tab w:val="num" w:pos="641"/>
        </w:tabs>
        <w:ind w:left="641" w:hanging="357"/>
      </w:pPr>
      <w:rPr>
        <w:rFonts w:ascii="Symbol" w:hAnsi="Symbol" w:hint="default"/>
        <w:color w:val="auto"/>
      </w:rPr>
    </w:lvl>
    <w:lvl w:ilvl="1">
      <w:start w:val="1"/>
      <w:numFmt w:val="bullet"/>
      <w:lvlText w:val=""/>
      <w:lvlJc w:val="left"/>
      <w:pPr>
        <w:tabs>
          <w:tab w:val="num" w:pos="924"/>
        </w:tabs>
        <w:ind w:left="924" w:hanging="357"/>
      </w:pPr>
      <w:rPr>
        <w:rFonts w:ascii="Wingdings" w:hAnsi="Wingdings" w:hint="default"/>
      </w:rPr>
    </w:lvl>
    <w:lvl w:ilvl="2">
      <w:start w:val="1"/>
      <w:numFmt w:val="bullet"/>
      <w:lvlText w:val=""/>
      <w:lvlJc w:val="left"/>
      <w:pPr>
        <w:tabs>
          <w:tab w:val="num" w:pos="1208"/>
        </w:tabs>
        <w:ind w:left="1208" w:hanging="357"/>
      </w:pPr>
      <w:rPr>
        <w:rFonts w:ascii="Symbol" w:hAnsi="Symbol" w:hint="default"/>
      </w:rPr>
    </w:lvl>
    <w:lvl w:ilvl="3">
      <w:start w:val="1"/>
      <w:numFmt w:val="bullet"/>
      <w:lvlText w:val=""/>
      <w:lvlJc w:val="left"/>
      <w:pPr>
        <w:tabs>
          <w:tab w:val="num" w:pos="1491"/>
        </w:tabs>
        <w:ind w:left="1491" w:hanging="357"/>
      </w:pPr>
      <w:rPr>
        <w:rFonts w:ascii="Symbol" w:hAnsi="Symbol" w:hint="default"/>
      </w:rPr>
    </w:lvl>
    <w:lvl w:ilvl="4">
      <w:start w:val="1"/>
      <w:numFmt w:val="bullet"/>
      <w:lvlText w:val=""/>
      <w:lvlJc w:val="left"/>
      <w:pPr>
        <w:tabs>
          <w:tab w:val="num" w:pos="1775"/>
        </w:tabs>
        <w:ind w:left="1775" w:hanging="357"/>
      </w:pPr>
      <w:rPr>
        <w:rFonts w:ascii="Symbol" w:hAnsi="Symbol" w:hint="default"/>
        <w:color w:val="auto"/>
      </w:rPr>
    </w:lvl>
    <w:lvl w:ilvl="5">
      <w:start w:val="1"/>
      <w:numFmt w:val="bullet"/>
      <w:lvlText w:val=""/>
      <w:lvlJc w:val="left"/>
      <w:pPr>
        <w:tabs>
          <w:tab w:val="num" w:pos="2058"/>
        </w:tabs>
        <w:ind w:left="2058" w:hanging="357"/>
      </w:pPr>
      <w:rPr>
        <w:rFonts w:ascii="Wingdings" w:hAnsi="Wingdings" w:hint="default"/>
      </w:rPr>
    </w:lvl>
    <w:lvl w:ilvl="6">
      <w:start w:val="1"/>
      <w:numFmt w:val="bullet"/>
      <w:lvlText w:val=""/>
      <w:lvlJc w:val="left"/>
      <w:pPr>
        <w:tabs>
          <w:tab w:val="num" w:pos="2342"/>
        </w:tabs>
        <w:ind w:left="2342" w:hanging="357"/>
      </w:pPr>
      <w:rPr>
        <w:rFonts w:ascii="Symbol" w:hAnsi="Symbol" w:hint="default"/>
      </w:rPr>
    </w:lvl>
    <w:lvl w:ilvl="7">
      <w:start w:val="1"/>
      <w:numFmt w:val="bullet"/>
      <w:lvlText w:val=""/>
      <w:lvlJc w:val="left"/>
      <w:pPr>
        <w:tabs>
          <w:tab w:val="num" w:pos="2625"/>
        </w:tabs>
        <w:ind w:left="2625" w:hanging="357"/>
      </w:pPr>
      <w:rPr>
        <w:rFonts w:ascii="Symbol" w:hAnsi="Symbol" w:hint="default"/>
      </w:rPr>
    </w:lvl>
    <w:lvl w:ilvl="8">
      <w:start w:val="1"/>
      <w:numFmt w:val="bullet"/>
      <w:lvlText w:val=""/>
      <w:lvlJc w:val="left"/>
      <w:pPr>
        <w:tabs>
          <w:tab w:val="num" w:pos="2909"/>
        </w:tabs>
        <w:ind w:left="2909" w:hanging="357"/>
      </w:pPr>
      <w:rPr>
        <w:rFonts w:ascii="Symbol" w:hAnsi="Symbol" w:hint="default"/>
        <w:color w:val="auto"/>
      </w:rPr>
    </w:lvl>
  </w:abstractNum>
  <w:abstractNum w:abstractNumId="11" w15:restartNumberingAfterBreak="0">
    <w:nsid w:val="301718D9"/>
    <w:multiLevelType w:val="hybridMultilevel"/>
    <w:tmpl w:val="E03883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83E6DD3"/>
    <w:multiLevelType w:val="hybridMultilevel"/>
    <w:tmpl w:val="2A42A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37C318F"/>
    <w:multiLevelType w:val="hybridMultilevel"/>
    <w:tmpl w:val="DA56C8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92F5465"/>
    <w:multiLevelType w:val="hybridMultilevel"/>
    <w:tmpl w:val="EE0E2A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96A1F1A"/>
    <w:multiLevelType w:val="hybridMultilevel"/>
    <w:tmpl w:val="DA3A8D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9A578A6"/>
    <w:multiLevelType w:val="hybridMultilevel"/>
    <w:tmpl w:val="C2C454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A0F5ECC"/>
    <w:multiLevelType w:val="hybridMultilevel"/>
    <w:tmpl w:val="55EEFE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C517A51"/>
    <w:multiLevelType w:val="hybridMultilevel"/>
    <w:tmpl w:val="EA52F4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DA20779"/>
    <w:multiLevelType w:val="hybridMultilevel"/>
    <w:tmpl w:val="AF1A12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0EB5660"/>
    <w:multiLevelType w:val="hybridMultilevel"/>
    <w:tmpl w:val="F5E4E5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80A043E"/>
    <w:multiLevelType w:val="hybridMultilevel"/>
    <w:tmpl w:val="F774C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AAF1A1F"/>
    <w:multiLevelType w:val="multilevel"/>
    <w:tmpl w:val="1E2275CE"/>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rPr>
        <w:rFonts w:ascii="Verdana" w:hAnsi="Verdana" w:hint="default"/>
        <w:sz w:val="20"/>
        <w:szCs w:val="20"/>
      </w:rPr>
    </w:lvl>
  </w:abstractNum>
  <w:abstractNum w:abstractNumId="23" w15:restartNumberingAfterBreak="0">
    <w:nsid w:val="6C8D1A7F"/>
    <w:multiLevelType w:val="hybridMultilevel"/>
    <w:tmpl w:val="73C254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8151A25"/>
    <w:multiLevelType w:val="hybridMultilevel"/>
    <w:tmpl w:val="42923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AC108D2"/>
    <w:multiLevelType w:val="hybridMultilevel"/>
    <w:tmpl w:val="3EEE8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D421F55"/>
    <w:multiLevelType w:val="hybridMultilevel"/>
    <w:tmpl w:val="4B4C2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3"/>
  </w:num>
  <w:num w:numId="4">
    <w:abstractNumId w:val="22"/>
  </w:num>
  <w:num w:numId="5">
    <w:abstractNumId w:val="24"/>
  </w:num>
  <w:num w:numId="6">
    <w:abstractNumId w:val="2"/>
  </w:num>
  <w:num w:numId="7">
    <w:abstractNumId w:val="18"/>
  </w:num>
  <w:num w:numId="8">
    <w:abstractNumId w:val="16"/>
  </w:num>
  <w:num w:numId="9">
    <w:abstractNumId w:val="14"/>
  </w:num>
  <w:num w:numId="10">
    <w:abstractNumId w:val="26"/>
  </w:num>
  <w:num w:numId="11">
    <w:abstractNumId w:val="11"/>
  </w:num>
  <w:num w:numId="12">
    <w:abstractNumId w:val="6"/>
  </w:num>
  <w:num w:numId="13">
    <w:abstractNumId w:val="15"/>
  </w:num>
  <w:num w:numId="14">
    <w:abstractNumId w:val="12"/>
  </w:num>
  <w:num w:numId="15">
    <w:abstractNumId w:val="8"/>
  </w:num>
  <w:num w:numId="16">
    <w:abstractNumId w:val="0"/>
  </w:num>
  <w:num w:numId="17">
    <w:abstractNumId w:val="1"/>
  </w:num>
  <w:num w:numId="18">
    <w:abstractNumId w:val="25"/>
  </w:num>
  <w:num w:numId="19">
    <w:abstractNumId w:val="21"/>
  </w:num>
  <w:num w:numId="20">
    <w:abstractNumId w:val="20"/>
  </w:num>
  <w:num w:numId="21">
    <w:abstractNumId w:val="17"/>
  </w:num>
  <w:num w:numId="22">
    <w:abstractNumId w:val="19"/>
  </w:num>
  <w:num w:numId="23">
    <w:abstractNumId w:val="4"/>
  </w:num>
  <w:num w:numId="24">
    <w:abstractNumId w:val="13"/>
  </w:num>
  <w:num w:numId="25">
    <w:abstractNumId w:val="23"/>
  </w:num>
  <w:num w:numId="26">
    <w:abstractNumId w:val="9"/>
  </w:num>
  <w:num w:numId="2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noPunctuationKerning/>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AF7"/>
    <w:rsid w:val="00000A8A"/>
    <w:rsid w:val="0000786D"/>
    <w:rsid w:val="00007DF6"/>
    <w:rsid w:val="00011B40"/>
    <w:rsid w:val="000136B6"/>
    <w:rsid w:val="00020857"/>
    <w:rsid w:val="00021A56"/>
    <w:rsid w:val="00021D61"/>
    <w:rsid w:val="00022C8D"/>
    <w:rsid w:val="0002543C"/>
    <w:rsid w:val="00036BCA"/>
    <w:rsid w:val="00036C3D"/>
    <w:rsid w:val="0004482E"/>
    <w:rsid w:val="000464CE"/>
    <w:rsid w:val="00047D82"/>
    <w:rsid w:val="00052437"/>
    <w:rsid w:val="00056019"/>
    <w:rsid w:val="000619DB"/>
    <w:rsid w:val="00061E31"/>
    <w:rsid w:val="00063D5C"/>
    <w:rsid w:val="0006717A"/>
    <w:rsid w:val="00067727"/>
    <w:rsid w:val="00072BA8"/>
    <w:rsid w:val="00076C7F"/>
    <w:rsid w:val="000800F5"/>
    <w:rsid w:val="00081F73"/>
    <w:rsid w:val="000855CD"/>
    <w:rsid w:val="00091A6E"/>
    <w:rsid w:val="000957D4"/>
    <w:rsid w:val="000A2F0D"/>
    <w:rsid w:val="000A74FE"/>
    <w:rsid w:val="000A7D91"/>
    <w:rsid w:val="000B1385"/>
    <w:rsid w:val="000B2BE8"/>
    <w:rsid w:val="000B4201"/>
    <w:rsid w:val="000C1072"/>
    <w:rsid w:val="000D0027"/>
    <w:rsid w:val="000D09A5"/>
    <w:rsid w:val="000D50CD"/>
    <w:rsid w:val="000D5440"/>
    <w:rsid w:val="000D755D"/>
    <w:rsid w:val="000E00A7"/>
    <w:rsid w:val="000E653D"/>
    <w:rsid w:val="000F1088"/>
    <w:rsid w:val="00100D86"/>
    <w:rsid w:val="00102107"/>
    <w:rsid w:val="0010258B"/>
    <w:rsid w:val="00104B7C"/>
    <w:rsid w:val="001064A2"/>
    <w:rsid w:val="00106B58"/>
    <w:rsid w:val="0011385F"/>
    <w:rsid w:val="00115926"/>
    <w:rsid w:val="00116182"/>
    <w:rsid w:val="001179CA"/>
    <w:rsid w:val="00122BF7"/>
    <w:rsid w:val="001255D9"/>
    <w:rsid w:val="001266F3"/>
    <w:rsid w:val="001328D9"/>
    <w:rsid w:val="0013413C"/>
    <w:rsid w:val="00137650"/>
    <w:rsid w:val="0014354C"/>
    <w:rsid w:val="00144C43"/>
    <w:rsid w:val="00151A55"/>
    <w:rsid w:val="00156329"/>
    <w:rsid w:val="00161CBD"/>
    <w:rsid w:val="001653D4"/>
    <w:rsid w:val="00166B94"/>
    <w:rsid w:val="00167CBA"/>
    <w:rsid w:val="00172495"/>
    <w:rsid w:val="00175605"/>
    <w:rsid w:val="00183291"/>
    <w:rsid w:val="00185D25"/>
    <w:rsid w:val="001941D4"/>
    <w:rsid w:val="001A27B5"/>
    <w:rsid w:val="001B1E82"/>
    <w:rsid w:val="001B340A"/>
    <w:rsid w:val="001B3E05"/>
    <w:rsid w:val="001B60FE"/>
    <w:rsid w:val="001C082E"/>
    <w:rsid w:val="001C38FC"/>
    <w:rsid w:val="001C7D25"/>
    <w:rsid w:val="001D3B05"/>
    <w:rsid w:val="001D5AF7"/>
    <w:rsid w:val="001E0B0C"/>
    <w:rsid w:val="001E1C69"/>
    <w:rsid w:val="001F0697"/>
    <w:rsid w:val="001F5ADA"/>
    <w:rsid w:val="00207795"/>
    <w:rsid w:val="0021147D"/>
    <w:rsid w:val="002120AB"/>
    <w:rsid w:val="00213F60"/>
    <w:rsid w:val="002148F6"/>
    <w:rsid w:val="00220A9D"/>
    <w:rsid w:val="0022148E"/>
    <w:rsid w:val="0022272D"/>
    <w:rsid w:val="00223C1D"/>
    <w:rsid w:val="0022617F"/>
    <w:rsid w:val="00226ED1"/>
    <w:rsid w:val="00232444"/>
    <w:rsid w:val="00233533"/>
    <w:rsid w:val="00234E9C"/>
    <w:rsid w:val="002410D5"/>
    <w:rsid w:val="00244379"/>
    <w:rsid w:val="00247802"/>
    <w:rsid w:val="00247D8A"/>
    <w:rsid w:val="002524D1"/>
    <w:rsid w:val="00256E90"/>
    <w:rsid w:val="00265605"/>
    <w:rsid w:val="00266B09"/>
    <w:rsid w:val="00280A9A"/>
    <w:rsid w:val="00282966"/>
    <w:rsid w:val="00284E1B"/>
    <w:rsid w:val="00286287"/>
    <w:rsid w:val="00286D2C"/>
    <w:rsid w:val="00293546"/>
    <w:rsid w:val="00295580"/>
    <w:rsid w:val="002959B1"/>
    <w:rsid w:val="00295AD3"/>
    <w:rsid w:val="002977F1"/>
    <w:rsid w:val="002A1853"/>
    <w:rsid w:val="002A1C9F"/>
    <w:rsid w:val="002A5742"/>
    <w:rsid w:val="002A70FE"/>
    <w:rsid w:val="002B12E6"/>
    <w:rsid w:val="002B37A4"/>
    <w:rsid w:val="002B485A"/>
    <w:rsid w:val="002B4D48"/>
    <w:rsid w:val="002B6875"/>
    <w:rsid w:val="002B7DCB"/>
    <w:rsid w:val="002C19DB"/>
    <w:rsid w:val="002C287F"/>
    <w:rsid w:val="002C467C"/>
    <w:rsid w:val="002D23F0"/>
    <w:rsid w:val="002D4384"/>
    <w:rsid w:val="002F0731"/>
    <w:rsid w:val="002F0EFF"/>
    <w:rsid w:val="002F4FBA"/>
    <w:rsid w:val="002F5837"/>
    <w:rsid w:val="003141A5"/>
    <w:rsid w:val="00320FC2"/>
    <w:rsid w:val="00323FDE"/>
    <w:rsid w:val="00324019"/>
    <w:rsid w:val="00327AD0"/>
    <w:rsid w:val="00334289"/>
    <w:rsid w:val="00334AC0"/>
    <w:rsid w:val="00337092"/>
    <w:rsid w:val="00340F05"/>
    <w:rsid w:val="003412E8"/>
    <w:rsid w:val="003432EA"/>
    <w:rsid w:val="00346991"/>
    <w:rsid w:val="00346C00"/>
    <w:rsid w:val="00347248"/>
    <w:rsid w:val="00347708"/>
    <w:rsid w:val="00356FD6"/>
    <w:rsid w:val="00366F3F"/>
    <w:rsid w:val="0037081C"/>
    <w:rsid w:val="00372693"/>
    <w:rsid w:val="003736CE"/>
    <w:rsid w:val="00373D86"/>
    <w:rsid w:val="00374495"/>
    <w:rsid w:val="00377F04"/>
    <w:rsid w:val="0038596D"/>
    <w:rsid w:val="00390FBC"/>
    <w:rsid w:val="00392FAF"/>
    <w:rsid w:val="00393109"/>
    <w:rsid w:val="0039400E"/>
    <w:rsid w:val="0039689E"/>
    <w:rsid w:val="00396B35"/>
    <w:rsid w:val="003A149D"/>
    <w:rsid w:val="003B11C6"/>
    <w:rsid w:val="003B4DEA"/>
    <w:rsid w:val="003B5662"/>
    <w:rsid w:val="003D1B8E"/>
    <w:rsid w:val="003D325B"/>
    <w:rsid w:val="003D32DF"/>
    <w:rsid w:val="003D4F52"/>
    <w:rsid w:val="003D5223"/>
    <w:rsid w:val="003E4C72"/>
    <w:rsid w:val="00403F56"/>
    <w:rsid w:val="00405685"/>
    <w:rsid w:val="0040597C"/>
    <w:rsid w:val="004066D5"/>
    <w:rsid w:val="00410A17"/>
    <w:rsid w:val="00411B57"/>
    <w:rsid w:val="00412790"/>
    <w:rsid w:val="004140EC"/>
    <w:rsid w:val="00417270"/>
    <w:rsid w:val="00417BB0"/>
    <w:rsid w:val="004232F7"/>
    <w:rsid w:val="004263DA"/>
    <w:rsid w:val="00426709"/>
    <w:rsid w:val="00426749"/>
    <w:rsid w:val="0042762F"/>
    <w:rsid w:val="004311C2"/>
    <w:rsid w:val="004441FA"/>
    <w:rsid w:val="00445BAD"/>
    <w:rsid w:val="004528FF"/>
    <w:rsid w:val="0045325F"/>
    <w:rsid w:val="00480712"/>
    <w:rsid w:val="004814FB"/>
    <w:rsid w:val="00483679"/>
    <w:rsid w:val="00490282"/>
    <w:rsid w:val="00491743"/>
    <w:rsid w:val="00494E4B"/>
    <w:rsid w:val="004A2E86"/>
    <w:rsid w:val="004B2AA7"/>
    <w:rsid w:val="004B4493"/>
    <w:rsid w:val="004C141E"/>
    <w:rsid w:val="004C2ED3"/>
    <w:rsid w:val="004D1AFD"/>
    <w:rsid w:val="004D2A90"/>
    <w:rsid w:val="004D4E1D"/>
    <w:rsid w:val="004D5623"/>
    <w:rsid w:val="004E5D1A"/>
    <w:rsid w:val="004F0D4E"/>
    <w:rsid w:val="004F1E1E"/>
    <w:rsid w:val="004F67C0"/>
    <w:rsid w:val="004F70AB"/>
    <w:rsid w:val="00501137"/>
    <w:rsid w:val="005040A6"/>
    <w:rsid w:val="00511889"/>
    <w:rsid w:val="005121C1"/>
    <w:rsid w:val="00514CCB"/>
    <w:rsid w:val="005165CB"/>
    <w:rsid w:val="0052080B"/>
    <w:rsid w:val="00533508"/>
    <w:rsid w:val="005345F9"/>
    <w:rsid w:val="00537650"/>
    <w:rsid w:val="00541391"/>
    <w:rsid w:val="005427D1"/>
    <w:rsid w:val="00543599"/>
    <w:rsid w:val="005458B6"/>
    <w:rsid w:val="00546033"/>
    <w:rsid w:val="005474B2"/>
    <w:rsid w:val="005476C4"/>
    <w:rsid w:val="00550F1E"/>
    <w:rsid w:val="00551406"/>
    <w:rsid w:val="00555275"/>
    <w:rsid w:val="005568B8"/>
    <w:rsid w:val="00561453"/>
    <w:rsid w:val="00561D18"/>
    <w:rsid w:val="0056241E"/>
    <w:rsid w:val="00571831"/>
    <w:rsid w:val="00572ABD"/>
    <w:rsid w:val="005753AA"/>
    <w:rsid w:val="00575FD7"/>
    <w:rsid w:val="0058691B"/>
    <w:rsid w:val="00592A3D"/>
    <w:rsid w:val="00594618"/>
    <w:rsid w:val="005948E9"/>
    <w:rsid w:val="00594FAA"/>
    <w:rsid w:val="00597B67"/>
    <w:rsid w:val="005A0300"/>
    <w:rsid w:val="005A3A7E"/>
    <w:rsid w:val="005A7E01"/>
    <w:rsid w:val="005C08D0"/>
    <w:rsid w:val="005C6F82"/>
    <w:rsid w:val="005C73FF"/>
    <w:rsid w:val="005C7E5F"/>
    <w:rsid w:val="005D0F58"/>
    <w:rsid w:val="005D3F97"/>
    <w:rsid w:val="005D40E6"/>
    <w:rsid w:val="005D4D25"/>
    <w:rsid w:val="005D7C43"/>
    <w:rsid w:val="005E1759"/>
    <w:rsid w:val="005E6DB1"/>
    <w:rsid w:val="005F3DFE"/>
    <w:rsid w:val="00604FDD"/>
    <w:rsid w:val="00607BFB"/>
    <w:rsid w:val="00624AC0"/>
    <w:rsid w:val="00625277"/>
    <w:rsid w:val="00625487"/>
    <w:rsid w:val="006256D1"/>
    <w:rsid w:val="006358C9"/>
    <w:rsid w:val="00641313"/>
    <w:rsid w:val="006439C4"/>
    <w:rsid w:val="00651CA3"/>
    <w:rsid w:val="0065417C"/>
    <w:rsid w:val="00666FC5"/>
    <w:rsid w:val="0067012E"/>
    <w:rsid w:val="006743B5"/>
    <w:rsid w:val="00680FC5"/>
    <w:rsid w:val="0069105C"/>
    <w:rsid w:val="00694CEF"/>
    <w:rsid w:val="006B20AA"/>
    <w:rsid w:val="006B4F6C"/>
    <w:rsid w:val="006B6A51"/>
    <w:rsid w:val="006C56EF"/>
    <w:rsid w:val="006C744A"/>
    <w:rsid w:val="006D13C2"/>
    <w:rsid w:val="006D2A3B"/>
    <w:rsid w:val="006E30B4"/>
    <w:rsid w:val="006E3471"/>
    <w:rsid w:val="006E6F9C"/>
    <w:rsid w:val="006E739B"/>
    <w:rsid w:val="006F43D5"/>
    <w:rsid w:val="006F62ED"/>
    <w:rsid w:val="006F6C69"/>
    <w:rsid w:val="00702AC6"/>
    <w:rsid w:val="00705298"/>
    <w:rsid w:val="00707316"/>
    <w:rsid w:val="00707439"/>
    <w:rsid w:val="00710611"/>
    <w:rsid w:val="007172A0"/>
    <w:rsid w:val="00724B15"/>
    <w:rsid w:val="00727F44"/>
    <w:rsid w:val="00730766"/>
    <w:rsid w:val="00731764"/>
    <w:rsid w:val="007328B2"/>
    <w:rsid w:val="007352C2"/>
    <w:rsid w:val="007364AC"/>
    <w:rsid w:val="00737EA0"/>
    <w:rsid w:val="00740BC2"/>
    <w:rsid w:val="007434A5"/>
    <w:rsid w:val="00750E08"/>
    <w:rsid w:val="00752242"/>
    <w:rsid w:val="0075371A"/>
    <w:rsid w:val="0075503B"/>
    <w:rsid w:val="0076038F"/>
    <w:rsid w:val="007605C4"/>
    <w:rsid w:val="00765191"/>
    <w:rsid w:val="00770F78"/>
    <w:rsid w:val="00773A05"/>
    <w:rsid w:val="007748D0"/>
    <w:rsid w:val="00774D4A"/>
    <w:rsid w:val="00785BFA"/>
    <w:rsid w:val="00791617"/>
    <w:rsid w:val="007935E8"/>
    <w:rsid w:val="007A0115"/>
    <w:rsid w:val="007A0B22"/>
    <w:rsid w:val="007A2A73"/>
    <w:rsid w:val="007A3DCA"/>
    <w:rsid w:val="007B01A2"/>
    <w:rsid w:val="007B0E1A"/>
    <w:rsid w:val="007B1232"/>
    <w:rsid w:val="007B3D3F"/>
    <w:rsid w:val="007C3C95"/>
    <w:rsid w:val="007C40B4"/>
    <w:rsid w:val="007C418C"/>
    <w:rsid w:val="007D2365"/>
    <w:rsid w:val="007D770D"/>
    <w:rsid w:val="007E04BA"/>
    <w:rsid w:val="007E4211"/>
    <w:rsid w:val="007F495E"/>
    <w:rsid w:val="007F6971"/>
    <w:rsid w:val="0080449F"/>
    <w:rsid w:val="0081028C"/>
    <w:rsid w:val="0081049E"/>
    <w:rsid w:val="00811FC4"/>
    <w:rsid w:val="00812570"/>
    <w:rsid w:val="00820085"/>
    <w:rsid w:val="00820364"/>
    <w:rsid w:val="00821A78"/>
    <w:rsid w:val="00827E93"/>
    <w:rsid w:val="008427C5"/>
    <w:rsid w:val="0084370B"/>
    <w:rsid w:val="00844A63"/>
    <w:rsid w:val="008525FC"/>
    <w:rsid w:val="008562B6"/>
    <w:rsid w:val="00856AF1"/>
    <w:rsid w:val="008615F0"/>
    <w:rsid w:val="008623CE"/>
    <w:rsid w:val="00867980"/>
    <w:rsid w:val="0087312C"/>
    <w:rsid w:val="00880886"/>
    <w:rsid w:val="008810A0"/>
    <w:rsid w:val="00883238"/>
    <w:rsid w:val="008964C2"/>
    <w:rsid w:val="008A01D0"/>
    <w:rsid w:val="008A0AEF"/>
    <w:rsid w:val="008A3835"/>
    <w:rsid w:val="008A490B"/>
    <w:rsid w:val="008A4AD2"/>
    <w:rsid w:val="008B38FC"/>
    <w:rsid w:val="008C3ABB"/>
    <w:rsid w:val="008C6B4D"/>
    <w:rsid w:val="008C7706"/>
    <w:rsid w:val="008C7747"/>
    <w:rsid w:val="008D18F0"/>
    <w:rsid w:val="008D2204"/>
    <w:rsid w:val="008D4DA3"/>
    <w:rsid w:val="008E035A"/>
    <w:rsid w:val="008E04BD"/>
    <w:rsid w:val="008E2D61"/>
    <w:rsid w:val="008E48B8"/>
    <w:rsid w:val="008E7F73"/>
    <w:rsid w:val="008F0B1F"/>
    <w:rsid w:val="008F29FB"/>
    <w:rsid w:val="008F51DF"/>
    <w:rsid w:val="009008A2"/>
    <w:rsid w:val="00900BD1"/>
    <w:rsid w:val="00905CE5"/>
    <w:rsid w:val="0091047B"/>
    <w:rsid w:val="00913069"/>
    <w:rsid w:val="00922749"/>
    <w:rsid w:val="00926C38"/>
    <w:rsid w:val="009276AD"/>
    <w:rsid w:val="00935AB2"/>
    <w:rsid w:val="009363DE"/>
    <w:rsid w:val="00941FC4"/>
    <w:rsid w:val="009442C4"/>
    <w:rsid w:val="009528F3"/>
    <w:rsid w:val="00962D7F"/>
    <w:rsid w:val="00966EA7"/>
    <w:rsid w:val="00976F3C"/>
    <w:rsid w:val="009778AE"/>
    <w:rsid w:val="00980E43"/>
    <w:rsid w:val="00982C4D"/>
    <w:rsid w:val="00992981"/>
    <w:rsid w:val="0099615F"/>
    <w:rsid w:val="009A2990"/>
    <w:rsid w:val="009A76FB"/>
    <w:rsid w:val="009A7900"/>
    <w:rsid w:val="009B2F08"/>
    <w:rsid w:val="009B32A1"/>
    <w:rsid w:val="009B5D34"/>
    <w:rsid w:val="009C172B"/>
    <w:rsid w:val="009C1B13"/>
    <w:rsid w:val="009C335A"/>
    <w:rsid w:val="009C583F"/>
    <w:rsid w:val="009D45D0"/>
    <w:rsid w:val="009D5223"/>
    <w:rsid w:val="009E06D2"/>
    <w:rsid w:val="009E4C69"/>
    <w:rsid w:val="009E5654"/>
    <w:rsid w:val="009F1456"/>
    <w:rsid w:val="00A03557"/>
    <w:rsid w:val="00A20BC3"/>
    <w:rsid w:val="00A2246C"/>
    <w:rsid w:val="00A2619C"/>
    <w:rsid w:val="00A362C6"/>
    <w:rsid w:val="00A37C06"/>
    <w:rsid w:val="00A41FDC"/>
    <w:rsid w:val="00A45D5A"/>
    <w:rsid w:val="00A63AFC"/>
    <w:rsid w:val="00A63DA5"/>
    <w:rsid w:val="00A65C7D"/>
    <w:rsid w:val="00A66770"/>
    <w:rsid w:val="00A7613B"/>
    <w:rsid w:val="00A77967"/>
    <w:rsid w:val="00A805F2"/>
    <w:rsid w:val="00A832E9"/>
    <w:rsid w:val="00A8455D"/>
    <w:rsid w:val="00A921CE"/>
    <w:rsid w:val="00A93A91"/>
    <w:rsid w:val="00A947F8"/>
    <w:rsid w:val="00A94C28"/>
    <w:rsid w:val="00A96761"/>
    <w:rsid w:val="00AA12F9"/>
    <w:rsid w:val="00AA240A"/>
    <w:rsid w:val="00AA6393"/>
    <w:rsid w:val="00AA703B"/>
    <w:rsid w:val="00AB3A06"/>
    <w:rsid w:val="00AB5C16"/>
    <w:rsid w:val="00AC69C1"/>
    <w:rsid w:val="00AC6B16"/>
    <w:rsid w:val="00AC6EBA"/>
    <w:rsid w:val="00AD42B5"/>
    <w:rsid w:val="00AD6066"/>
    <w:rsid w:val="00AD64F4"/>
    <w:rsid w:val="00AE3BBC"/>
    <w:rsid w:val="00AE50CB"/>
    <w:rsid w:val="00AF18DC"/>
    <w:rsid w:val="00AF1A3B"/>
    <w:rsid w:val="00AF1FC0"/>
    <w:rsid w:val="00AF4A0F"/>
    <w:rsid w:val="00AF4F69"/>
    <w:rsid w:val="00AF56B8"/>
    <w:rsid w:val="00AF64C4"/>
    <w:rsid w:val="00AF6FB2"/>
    <w:rsid w:val="00AF7E0C"/>
    <w:rsid w:val="00B03A78"/>
    <w:rsid w:val="00B050BB"/>
    <w:rsid w:val="00B073C5"/>
    <w:rsid w:val="00B12A55"/>
    <w:rsid w:val="00B14ED8"/>
    <w:rsid w:val="00B228C0"/>
    <w:rsid w:val="00B25A00"/>
    <w:rsid w:val="00B327D5"/>
    <w:rsid w:val="00B35DC5"/>
    <w:rsid w:val="00B42F11"/>
    <w:rsid w:val="00B46DDA"/>
    <w:rsid w:val="00B54837"/>
    <w:rsid w:val="00B561B8"/>
    <w:rsid w:val="00B63230"/>
    <w:rsid w:val="00B63F9D"/>
    <w:rsid w:val="00B6533E"/>
    <w:rsid w:val="00B67894"/>
    <w:rsid w:val="00B72325"/>
    <w:rsid w:val="00B72E59"/>
    <w:rsid w:val="00B72FE2"/>
    <w:rsid w:val="00B8151E"/>
    <w:rsid w:val="00B842B9"/>
    <w:rsid w:val="00B8545E"/>
    <w:rsid w:val="00B86A38"/>
    <w:rsid w:val="00B94CAB"/>
    <w:rsid w:val="00B95EFD"/>
    <w:rsid w:val="00BA4F05"/>
    <w:rsid w:val="00BA70E7"/>
    <w:rsid w:val="00BA7B31"/>
    <w:rsid w:val="00BB0255"/>
    <w:rsid w:val="00BB1D7B"/>
    <w:rsid w:val="00BB27B7"/>
    <w:rsid w:val="00BB5BD2"/>
    <w:rsid w:val="00BB7D07"/>
    <w:rsid w:val="00BC4A74"/>
    <w:rsid w:val="00BD2AE7"/>
    <w:rsid w:val="00BE09D2"/>
    <w:rsid w:val="00BE0BD9"/>
    <w:rsid w:val="00BE224B"/>
    <w:rsid w:val="00BE2A25"/>
    <w:rsid w:val="00BE3229"/>
    <w:rsid w:val="00BE67A2"/>
    <w:rsid w:val="00BE738A"/>
    <w:rsid w:val="00BF06DA"/>
    <w:rsid w:val="00BF0BAF"/>
    <w:rsid w:val="00C007F9"/>
    <w:rsid w:val="00C010DC"/>
    <w:rsid w:val="00C0519B"/>
    <w:rsid w:val="00C056C9"/>
    <w:rsid w:val="00C125D2"/>
    <w:rsid w:val="00C14386"/>
    <w:rsid w:val="00C2142D"/>
    <w:rsid w:val="00C26590"/>
    <w:rsid w:val="00C307F9"/>
    <w:rsid w:val="00C35074"/>
    <w:rsid w:val="00C35B2B"/>
    <w:rsid w:val="00C365B4"/>
    <w:rsid w:val="00C41930"/>
    <w:rsid w:val="00C4331E"/>
    <w:rsid w:val="00C45860"/>
    <w:rsid w:val="00C461E3"/>
    <w:rsid w:val="00C4705B"/>
    <w:rsid w:val="00C51522"/>
    <w:rsid w:val="00C52671"/>
    <w:rsid w:val="00C53914"/>
    <w:rsid w:val="00C5587D"/>
    <w:rsid w:val="00C60DF5"/>
    <w:rsid w:val="00C62A0F"/>
    <w:rsid w:val="00C669C7"/>
    <w:rsid w:val="00C7086C"/>
    <w:rsid w:val="00C70EDE"/>
    <w:rsid w:val="00C73E24"/>
    <w:rsid w:val="00C76485"/>
    <w:rsid w:val="00C77C82"/>
    <w:rsid w:val="00C805E2"/>
    <w:rsid w:val="00C8232A"/>
    <w:rsid w:val="00C82D4F"/>
    <w:rsid w:val="00C8429F"/>
    <w:rsid w:val="00C84B64"/>
    <w:rsid w:val="00C877B8"/>
    <w:rsid w:val="00C92EFC"/>
    <w:rsid w:val="00C93DA6"/>
    <w:rsid w:val="00C9506B"/>
    <w:rsid w:val="00CA3217"/>
    <w:rsid w:val="00CA553D"/>
    <w:rsid w:val="00CB204B"/>
    <w:rsid w:val="00CB4B30"/>
    <w:rsid w:val="00CB52CB"/>
    <w:rsid w:val="00CC0354"/>
    <w:rsid w:val="00CC1526"/>
    <w:rsid w:val="00CC18F8"/>
    <w:rsid w:val="00CD242C"/>
    <w:rsid w:val="00CD4DE6"/>
    <w:rsid w:val="00CE3686"/>
    <w:rsid w:val="00CE3C20"/>
    <w:rsid w:val="00CE44AC"/>
    <w:rsid w:val="00CF12EB"/>
    <w:rsid w:val="00CF74DA"/>
    <w:rsid w:val="00CF754E"/>
    <w:rsid w:val="00D01F5D"/>
    <w:rsid w:val="00D03697"/>
    <w:rsid w:val="00D05F27"/>
    <w:rsid w:val="00D072E0"/>
    <w:rsid w:val="00D11772"/>
    <w:rsid w:val="00D1343A"/>
    <w:rsid w:val="00D13760"/>
    <w:rsid w:val="00D16676"/>
    <w:rsid w:val="00D3551D"/>
    <w:rsid w:val="00D37640"/>
    <w:rsid w:val="00D46426"/>
    <w:rsid w:val="00D473A2"/>
    <w:rsid w:val="00D53ACA"/>
    <w:rsid w:val="00D631FA"/>
    <w:rsid w:val="00D634C7"/>
    <w:rsid w:val="00D76D04"/>
    <w:rsid w:val="00D777EF"/>
    <w:rsid w:val="00D77F15"/>
    <w:rsid w:val="00D81907"/>
    <w:rsid w:val="00D86A62"/>
    <w:rsid w:val="00D90063"/>
    <w:rsid w:val="00D91F4B"/>
    <w:rsid w:val="00D94B20"/>
    <w:rsid w:val="00D964F9"/>
    <w:rsid w:val="00DA3E5A"/>
    <w:rsid w:val="00DA74B9"/>
    <w:rsid w:val="00DB3EEC"/>
    <w:rsid w:val="00DC2871"/>
    <w:rsid w:val="00DC2F07"/>
    <w:rsid w:val="00DC68F2"/>
    <w:rsid w:val="00DC6BBE"/>
    <w:rsid w:val="00DD1BDF"/>
    <w:rsid w:val="00DD2733"/>
    <w:rsid w:val="00DD2AA4"/>
    <w:rsid w:val="00DD4FE9"/>
    <w:rsid w:val="00DE4E32"/>
    <w:rsid w:val="00DF1AA3"/>
    <w:rsid w:val="00DF3FCD"/>
    <w:rsid w:val="00DF5441"/>
    <w:rsid w:val="00DF65ED"/>
    <w:rsid w:val="00DF7319"/>
    <w:rsid w:val="00E007A1"/>
    <w:rsid w:val="00E04C0A"/>
    <w:rsid w:val="00E13671"/>
    <w:rsid w:val="00E13BC0"/>
    <w:rsid w:val="00E157F2"/>
    <w:rsid w:val="00E301E1"/>
    <w:rsid w:val="00E31F73"/>
    <w:rsid w:val="00E35DB2"/>
    <w:rsid w:val="00E472E0"/>
    <w:rsid w:val="00E52DAC"/>
    <w:rsid w:val="00E54B8F"/>
    <w:rsid w:val="00E560A4"/>
    <w:rsid w:val="00E57195"/>
    <w:rsid w:val="00E62D0A"/>
    <w:rsid w:val="00E82E0D"/>
    <w:rsid w:val="00E8568B"/>
    <w:rsid w:val="00E86733"/>
    <w:rsid w:val="00E869D0"/>
    <w:rsid w:val="00EA1A56"/>
    <w:rsid w:val="00EA3ADF"/>
    <w:rsid w:val="00EA64D2"/>
    <w:rsid w:val="00EB015B"/>
    <w:rsid w:val="00EB1FB1"/>
    <w:rsid w:val="00EB3E4A"/>
    <w:rsid w:val="00EB6D61"/>
    <w:rsid w:val="00EB7FCE"/>
    <w:rsid w:val="00EC0994"/>
    <w:rsid w:val="00EC5403"/>
    <w:rsid w:val="00ED0290"/>
    <w:rsid w:val="00ED4A8C"/>
    <w:rsid w:val="00EE17F8"/>
    <w:rsid w:val="00EE72FE"/>
    <w:rsid w:val="00EF355A"/>
    <w:rsid w:val="00EF564E"/>
    <w:rsid w:val="00EF687D"/>
    <w:rsid w:val="00EF7AAA"/>
    <w:rsid w:val="00F06C3F"/>
    <w:rsid w:val="00F07479"/>
    <w:rsid w:val="00F13979"/>
    <w:rsid w:val="00F26553"/>
    <w:rsid w:val="00F31DAD"/>
    <w:rsid w:val="00F31E77"/>
    <w:rsid w:val="00F33C4F"/>
    <w:rsid w:val="00F416ED"/>
    <w:rsid w:val="00F425D1"/>
    <w:rsid w:val="00F45A5E"/>
    <w:rsid w:val="00F4715A"/>
    <w:rsid w:val="00F54A81"/>
    <w:rsid w:val="00F632E7"/>
    <w:rsid w:val="00F7056D"/>
    <w:rsid w:val="00F76534"/>
    <w:rsid w:val="00F84034"/>
    <w:rsid w:val="00F90AAE"/>
    <w:rsid w:val="00F90F22"/>
    <w:rsid w:val="00F9229D"/>
    <w:rsid w:val="00F92633"/>
    <w:rsid w:val="00F944FE"/>
    <w:rsid w:val="00F95EED"/>
    <w:rsid w:val="00FA133A"/>
    <w:rsid w:val="00FA137D"/>
    <w:rsid w:val="00FA27E3"/>
    <w:rsid w:val="00FA2825"/>
    <w:rsid w:val="00FA3B12"/>
    <w:rsid w:val="00FA520C"/>
    <w:rsid w:val="00FA75E9"/>
    <w:rsid w:val="00FB0760"/>
    <w:rsid w:val="00FB1EA3"/>
    <w:rsid w:val="00FC671D"/>
    <w:rsid w:val="00FC7EDB"/>
    <w:rsid w:val="00FD29CB"/>
    <w:rsid w:val="00FD2A18"/>
    <w:rsid w:val="00FD7001"/>
    <w:rsid w:val="00FE7158"/>
    <w:rsid w:val="00FE7A89"/>
    <w:rsid w:val="00FF1F19"/>
    <w:rsid w:val="00FF2BEE"/>
    <w:rsid w:val="00FF38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51800D54"/>
  <w15:docId w15:val="{170C12EE-46C2-463E-93BA-99230F52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76D04"/>
    <w:pPr>
      <w:spacing w:before="20" w:after="20"/>
      <w:jc w:val="both"/>
    </w:pPr>
    <w:rPr>
      <w:rFonts w:ascii="COMTES FHT Standard" w:hAnsi="COMTES FHT Standard"/>
      <w:szCs w:val="24"/>
    </w:rPr>
  </w:style>
  <w:style w:type="paragraph" w:styleId="Nadpis1">
    <w:name w:val="heading 1"/>
    <w:basedOn w:val="Normln"/>
    <w:next w:val="Normln"/>
    <w:link w:val="Nadpis1Char"/>
    <w:qFormat/>
    <w:rsid w:val="00C14386"/>
    <w:pPr>
      <w:keepNext/>
      <w:numPr>
        <w:numId w:val="3"/>
      </w:numPr>
      <w:spacing w:before="240" w:after="120"/>
      <w:jc w:val="left"/>
      <w:outlineLvl w:val="0"/>
    </w:pPr>
    <w:rPr>
      <w:rFonts w:ascii="COMTES FHT Title" w:hAnsi="COMTES FHT Title" w:cs="Arial"/>
      <w:b/>
      <w:bCs/>
      <w:kern w:val="32"/>
      <w:sz w:val="30"/>
      <w:szCs w:val="32"/>
    </w:rPr>
  </w:style>
  <w:style w:type="paragraph" w:styleId="Nadpis2">
    <w:name w:val="heading 2"/>
    <w:basedOn w:val="Normln"/>
    <w:next w:val="Normln"/>
    <w:qFormat/>
    <w:rsid w:val="00C14386"/>
    <w:pPr>
      <w:keepNext/>
      <w:numPr>
        <w:ilvl w:val="1"/>
        <w:numId w:val="3"/>
      </w:numPr>
      <w:spacing w:before="240" w:after="60"/>
      <w:jc w:val="left"/>
      <w:outlineLvl w:val="1"/>
    </w:pPr>
    <w:rPr>
      <w:rFonts w:ascii="COMTES FHT Subtitle" w:hAnsi="COMTES FHT Subtitle" w:cs="Arial"/>
      <w:b/>
      <w:bCs/>
      <w:iCs/>
      <w:sz w:val="26"/>
      <w:szCs w:val="28"/>
    </w:rPr>
  </w:style>
  <w:style w:type="paragraph" w:styleId="Nadpis3">
    <w:name w:val="heading 3"/>
    <w:basedOn w:val="Normln"/>
    <w:next w:val="Normln"/>
    <w:qFormat/>
    <w:rsid w:val="00C14386"/>
    <w:pPr>
      <w:keepNext/>
      <w:numPr>
        <w:ilvl w:val="2"/>
        <w:numId w:val="3"/>
      </w:numPr>
      <w:tabs>
        <w:tab w:val="left" w:pos="851"/>
      </w:tabs>
      <w:spacing w:before="240" w:after="60"/>
      <w:jc w:val="left"/>
      <w:outlineLvl w:val="2"/>
    </w:pPr>
    <w:rPr>
      <w:rFonts w:ascii="COMTES FHT Subtitle" w:hAnsi="COMTES FHT Subtitle" w:cs="Arial"/>
      <w:b/>
      <w:bCs/>
      <w:sz w:val="24"/>
      <w:szCs w:val="26"/>
    </w:rPr>
  </w:style>
  <w:style w:type="paragraph" w:styleId="Nadpis4">
    <w:name w:val="heading 4"/>
    <w:basedOn w:val="Normln"/>
    <w:next w:val="Normln"/>
    <w:qFormat/>
    <w:rsid w:val="00E86733"/>
    <w:pPr>
      <w:keepNext/>
      <w:spacing w:before="120" w:after="60"/>
      <w:jc w:val="left"/>
      <w:outlineLvl w:val="3"/>
    </w:pPr>
    <w:rPr>
      <w:b/>
      <w:bCs/>
      <w:sz w:val="22"/>
      <w:szCs w:val="28"/>
    </w:rPr>
  </w:style>
  <w:style w:type="paragraph" w:styleId="Nadpis5">
    <w:name w:val="heading 5"/>
    <w:basedOn w:val="Normln"/>
    <w:next w:val="Normln"/>
    <w:qFormat/>
    <w:rsid w:val="00E86733"/>
    <w:pPr>
      <w:spacing w:before="120" w:after="60"/>
      <w:jc w:val="left"/>
      <w:outlineLvl w:val="4"/>
    </w:pPr>
    <w:rPr>
      <w:b/>
      <w:bCs/>
      <w:iCs/>
      <w:szCs w:val="26"/>
    </w:rPr>
  </w:style>
  <w:style w:type="paragraph" w:styleId="Nadpis6">
    <w:name w:val="heading 6"/>
    <w:basedOn w:val="Normln"/>
    <w:next w:val="Normln"/>
    <w:qFormat/>
    <w:rsid w:val="00E86733"/>
    <w:pPr>
      <w:spacing w:before="120" w:after="60"/>
      <w:jc w:val="left"/>
      <w:outlineLvl w:val="5"/>
    </w:pPr>
    <w:rPr>
      <w:b/>
      <w:bCs/>
      <w:szCs w:val="22"/>
    </w:rPr>
  </w:style>
  <w:style w:type="paragraph" w:styleId="Nadpis7">
    <w:name w:val="heading 7"/>
    <w:basedOn w:val="Normln"/>
    <w:next w:val="Normln"/>
    <w:qFormat/>
    <w:rsid w:val="00E86733"/>
    <w:pPr>
      <w:spacing w:before="120" w:after="60"/>
      <w:jc w:val="left"/>
      <w:outlineLvl w:val="6"/>
    </w:pPr>
    <w:rPr>
      <w:b/>
    </w:rPr>
  </w:style>
  <w:style w:type="paragraph" w:styleId="Nadpis8">
    <w:name w:val="heading 8"/>
    <w:basedOn w:val="Normln"/>
    <w:next w:val="Normln"/>
    <w:qFormat/>
    <w:rsid w:val="00E86733"/>
    <w:pPr>
      <w:spacing w:before="120" w:after="60"/>
      <w:jc w:val="left"/>
      <w:outlineLvl w:val="7"/>
    </w:pPr>
    <w:rPr>
      <w:b/>
      <w:iCs/>
    </w:rPr>
  </w:style>
  <w:style w:type="paragraph" w:styleId="Nadpis9">
    <w:name w:val="heading 9"/>
    <w:basedOn w:val="Normln"/>
    <w:next w:val="Normln"/>
    <w:qFormat/>
    <w:rsid w:val="00E86733"/>
    <w:pPr>
      <w:spacing w:before="120" w:after="60"/>
      <w:jc w:val="left"/>
      <w:outlineLvl w:val="8"/>
    </w:pPr>
    <w:rPr>
      <w:rFonts w:cs="Arial"/>
      <w:b/>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dresa">
    <w:name w:val="Adresa"/>
    <w:basedOn w:val="Normln"/>
    <w:rsid w:val="00E86733"/>
    <w:pPr>
      <w:jc w:val="left"/>
    </w:pPr>
    <w:rPr>
      <w:rFonts w:ascii="COMTES FHT Subtitle" w:hAnsi="COMTES FHT Subtitle"/>
      <w:b/>
      <w:color w:val="808080"/>
    </w:rPr>
  </w:style>
  <w:style w:type="character" w:styleId="slostrnky">
    <w:name w:val="page number"/>
    <w:basedOn w:val="Standardnpsmoodstavce"/>
    <w:rsid w:val="00E86733"/>
    <w:rPr>
      <w:rFonts w:ascii="COMTES FHT Title" w:hAnsi="COMTES FHT Title"/>
      <w:b/>
      <w:color w:val="A6A6A6"/>
      <w:spacing w:val="4"/>
      <w:w w:val="85"/>
      <w:sz w:val="18"/>
    </w:rPr>
  </w:style>
  <w:style w:type="character" w:styleId="Hypertextovodkaz">
    <w:name w:val="Hyperlink"/>
    <w:basedOn w:val="Standardnpsmoodstavce"/>
    <w:uiPriority w:val="99"/>
    <w:rsid w:val="00E86733"/>
    <w:rPr>
      <w:color w:val="808080"/>
      <w:u w:val="single"/>
    </w:rPr>
  </w:style>
  <w:style w:type="paragraph" w:customStyle="1" w:styleId="Infotabulka">
    <w:name w:val="Info tabulka"/>
    <w:basedOn w:val="Normln"/>
    <w:rsid w:val="00E86733"/>
    <w:pPr>
      <w:ind w:left="142" w:right="142"/>
      <w:jc w:val="left"/>
    </w:pPr>
    <w:rPr>
      <w:sz w:val="18"/>
    </w:rPr>
  </w:style>
  <w:style w:type="paragraph" w:customStyle="1" w:styleId="Infotabulkapopisky">
    <w:name w:val="Info tabulka popisky"/>
    <w:basedOn w:val="Normln"/>
    <w:rsid w:val="00E86733"/>
    <w:pPr>
      <w:ind w:left="142" w:right="57"/>
      <w:jc w:val="left"/>
    </w:pPr>
    <w:rPr>
      <w:color w:val="A6A6A6"/>
      <w:spacing w:val="4"/>
      <w:sz w:val="19"/>
    </w:rPr>
  </w:style>
  <w:style w:type="numbering" w:customStyle="1" w:styleId="Seznamslovan">
    <w:name w:val="Seznam číslovaný"/>
    <w:basedOn w:val="Bezseznamu"/>
    <w:rsid w:val="00E86733"/>
    <w:pPr>
      <w:numPr>
        <w:numId w:val="1"/>
      </w:numPr>
    </w:pPr>
  </w:style>
  <w:style w:type="paragraph" w:customStyle="1" w:styleId="Nadpisautoi">
    <w:name w:val="Nadpis autoři"/>
    <w:basedOn w:val="Normln"/>
    <w:rsid w:val="00E86733"/>
    <w:pPr>
      <w:jc w:val="left"/>
    </w:pPr>
    <w:rPr>
      <w:sz w:val="24"/>
    </w:rPr>
  </w:style>
  <w:style w:type="paragraph" w:customStyle="1" w:styleId="Nadpisobsah">
    <w:name w:val="Nadpis obsah"/>
    <w:basedOn w:val="Normln"/>
    <w:next w:val="Normln"/>
    <w:rsid w:val="00C14386"/>
    <w:pPr>
      <w:spacing w:before="240" w:after="120"/>
      <w:jc w:val="left"/>
    </w:pPr>
    <w:rPr>
      <w:rFonts w:ascii="COMTES FHT Title" w:hAnsi="COMTES FHT Title"/>
      <w:b/>
      <w:sz w:val="30"/>
    </w:rPr>
  </w:style>
  <w:style w:type="paragraph" w:customStyle="1" w:styleId="Nadpispodtitul">
    <w:name w:val="Nadpis podtitul"/>
    <w:basedOn w:val="Normln"/>
    <w:next w:val="Normln"/>
    <w:rsid w:val="00E86733"/>
    <w:pPr>
      <w:spacing w:before="60" w:after="60"/>
      <w:jc w:val="left"/>
    </w:pPr>
    <w:rPr>
      <w:rFonts w:ascii="COMTES FHT Subtitle" w:hAnsi="COMTES FHT Subtitle"/>
      <w:b/>
      <w:sz w:val="28"/>
    </w:rPr>
  </w:style>
  <w:style w:type="paragraph" w:customStyle="1" w:styleId="Nadpistitul">
    <w:name w:val="Nadpis titul"/>
    <w:basedOn w:val="Normln"/>
    <w:next w:val="Normln"/>
    <w:rsid w:val="00E86733"/>
    <w:pPr>
      <w:spacing w:before="60" w:after="60"/>
      <w:jc w:val="left"/>
    </w:pPr>
    <w:rPr>
      <w:rFonts w:ascii="COMTES FHT Title" w:hAnsi="COMTES FHT Title"/>
      <w:b/>
      <w:sz w:val="36"/>
    </w:rPr>
  </w:style>
  <w:style w:type="paragraph" w:customStyle="1" w:styleId="Nzevsouboru">
    <w:name w:val="Název souboru"/>
    <w:basedOn w:val="Normln"/>
    <w:rsid w:val="00E86733"/>
    <w:pPr>
      <w:spacing w:before="0" w:after="0"/>
      <w:jc w:val="left"/>
    </w:pPr>
    <w:rPr>
      <w:color w:val="B2B2B2"/>
      <w:sz w:val="16"/>
    </w:rPr>
  </w:style>
  <w:style w:type="paragraph" w:customStyle="1" w:styleId="Obrzek">
    <w:name w:val="Obrázek"/>
    <w:basedOn w:val="Normln"/>
    <w:next w:val="Normln"/>
    <w:rsid w:val="00E86733"/>
    <w:pPr>
      <w:keepNext/>
      <w:spacing w:before="240" w:after="60"/>
      <w:jc w:val="center"/>
    </w:pPr>
  </w:style>
  <w:style w:type="paragraph" w:styleId="Obsah1">
    <w:name w:val="toc 1"/>
    <w:basedOn w:val="Normln"/>
    <w:next w:val="Normln"/>
    <w:semiHidden/>
    <w:rsid w:val="00E86733"/>
    <w:pPr>
      <w:tabs>
        <w:tab w:val="left" w:pos="601"/>
        <w:tab w:val="right" w:pos="9061"/>
      </w:tabs>
      <w:spacing w:before="240" w:after="60"/>
    </w:pPr>
    <w:rPr>
      <w:rFonts w:ascii="COMTES FHT Title" w:hAnsi="COMTES FHT Title"/>
      <w:b/>
      <w:sz w:val="24"/>
    </w:rPr>
  </w:style>
  <w:style w:type="paragraph" w:styleId="Obsah2">
    <w:name w:val="toc 2"/>
    <w:basedOn w:val="Normln"/>
    <w:next w:val="Normln"/>
    <w:semiHidden/>
    <w:rsid w:val="00E86733"/>
    <w:pPr>
      <w:tabs>
        <w:tab w:val="left" w:pos="799"/>
        <w:tab w:val="right" w:pos="9061"/>
      </w:tabs>
      <w:spacing w:before="40" w:after="40"/>
      <w:ind w:left="198"/>
    </w:pPr>
    <w:rPr>
      <w:rFonts w:ascii="COMTES FHT Subtitle" w:hAnsi="COMTES FHT Subtitle"/>
      <w:b/>
      <w:sz w:val="22"/>
    </w:rPr>
  </w:style>
  <w:style w:type="paragraph" w:styleId="Obsah3">
    <w:name w:val="toc 3"/>
    <w:basedOn w:val="Normln"/>
    <w:next w:val="Normln"/>
    <w:semiHidden/>
    <w:rsid w:val="00E86733"/>
    <w:pPr>
      <w:tabs>
        <w:tab w:val="left" w:pos="1202"/>
        <w:tab w:val="right" w:pos="9061"/>
      </w:tabs>
      <w:spacing w:before="40" w:after="40"/>
      <w:ind w:left="403"/>
    </w:pPr>
  </w:style>
  <w:style w:type="paragraph" w:styleId="Obsah4">
    <w:name w:val="toc 4"/>
    <w:basedOn w:val="Normln"/>
    <w:next w:val="Normln"/>
    <w:semiHidden/>
    <w:rsid w:val="00E86733"/>
    <w:pPr>
      <w:spacing w:before="40" w:after="40"/>
      <w:ind w:left="601"/>
    </w:pPr>
  </w:style>
  <w:style w:type="paragraph" w:styleId="Obsah5">
    <w:name w:val="toc 5"/>
    <w:basedOn w:val="Normln"/>
    <w:next w:val="Normln"/>
    <w:semiHidden/>
    <w:rsid w:val="00E86733"/>
    <w:pPr>
      <w:spacing w:before="40" w:after="40"/>
      <w:ind w:left="799"/>
    </w:pPr>
  </w:style>
  <w:style w:type="paragraph" w:styleId="Obsah6">
    <w:name w:val="toc 6"/>
    <w:basedOn w:val="Normln"/>
    <w:next w:val="Normln"/>
    <w:semiHidden/>
    <w:rsid w:val="00E86733"/>
    <w:pPr>
      <w:spacing w:before="40" w:after="40"/>
      <w:ind w:left="998"/>
    </w:pPr>
  </w:style>
  <w:style w:type="paragraph" w:styleId="Obsah7">
    <w:name w:val="toc 7"/>
    <w:basedOn w:val="Normln"/>
    <w:next w:val="Normln"/>
    <w:semiHidden/>
    <w:rsid w:val="00E86733"/>
    <w:pPr>
      <w:spacing w:before="40" w:after="40"/>
      <w:ind w:left="1202"/>
    </w:pPr>
  </w:style>
  <w:style w:type="paragraph" w:styleId="Obsah8">
    <w:name w:val="toc 8"/>
    <w:basedOn w:val="Normln"/>
    <w:next w:val="Normln"/>
    <w:semiHidden/>
    <w:rsid w:val="00E86733"/>
    <w:pPr>
      <w:spacing w:before="40" w:after="40"/>
      <w:ind w:left="1400"/>
    </w:pPr>
  </w:style>
  <w:style w:type="paragraph" w:styleId="Obsah9">
    <w:name w:val="toc 9"/>
    <w:basedOn w:val="Normln"/>
    <w:next w:val="Normln"/>
    <w:semiHidden/>
    <w:rsid w:val="00E86733"/>
    <w:pPr>
      <w:spacing w:before="40" w:after="40"/>
      <w:ind w:left="1599"/>
    </w:pPr>
  </w:style>
  <w:style w:type="paragraph" w:customStyle="1" w:styleId="Popisky">
    <w:name w:val="Popisky"/>
    <w:basedOn w:val="Normln"/>
    <w:rsid w:val="0067012E"/>
    <w:pPr>
      <w:jc w:val="left"/>
    </w:pPr>
    <w:rPr>
      <w:rFonts w:ascii="COMTES FHT Subtitle" w:hAnsi="COMTES FHT Subtitle"/>
      <w:b/>
      <w:color w:val="595959"/>
    </w:rPr>
  </w:style>
  <w:style w:type="character" w:customStyle="1" w:styleId="Skryttext">
    <w:name w:val="Skrytý text"/>
    <w:basedOn w:val="Standardnpsmoodstavce"/>
    <w:rsid w:val="00E86733"/>
    <w:rPr>
      <w:rFonts w:ascii="Tahoma" w:hAnsi="Tahoma"/>
      <w:vanish/>
      <w:color w:val="B2B2B2"/>
      <w:sz w:val="16"/>
    </w:rPr>
  </w:style>
  <w:style w:type="character" w:styleId="Sledovanodkaz">
    <w:name w:val="FollowedHyperlink"/>
    <w:basedOn w:val="Standardnpsmoodstavce"/>
    <w:rsid w:val="00E86733"/>
    <w:rPr>
      <w:color w:val="808080"/>
      <w:u w:val="single"/>
    </w:rPr>
  </w:style>
  <w:style w:type="paragraph" w:styleId="Titulek">
    <w:name w:val="caption"/>
    <w:basedOn w:val="Normln"/>
    <w:next w:val="Normln"/>
    <w:uiPriority w:val="35"/>
    <w:qFormat/>
    <w:rsid w:val="00E86733"/>
    <w:pPr>
      <w:spacing w:before="60" w:after="60"/>
      <w:jc w:val="left"/>
    </w:pPr>
    <w:rPr>
      <w:bCs/>
      <w:szCs w:val="20"/>
    </w:rPr>
  </w:style>
  <w:style w:type="paragraph" w:styleId="Zhlav">
    <w:name w:val="header"/>
    <w:basedOn w:val="Normln"/>
    <w:rsid w:val="009B2F08"/>
    <w:pPr>
      <w:tabs>
        <w:tab w:val="center" w:pos="5103"/>
        <w:tab w:val="right" w:pos="10206"/>
      </w:tabs>
      <w:jc w:val="left"/>
    </w:pPr>
    <w:rPr>
      <w:sz w:val="16"/>
    </w:rPr>
  </w:style>
  <w:style w:type="paragraph" w:styleId="Zpat">
    <w:name w:val="footer"/>
    <w:basedOn w:val="Normln"/>
    <w:rsid w:val="009B2F08"/>
    <w:pPr>
      <w:tabs>
        <w:tab w:val="center" w:pos="5103"/>
        <w:tab w:val="right" w:pos="10206"/>
      </w:tabs>
      <w:jc w:val="left"/>
    </w:pPr>
    <w:rPr>
      <w:sz w:val="16"/>
    </w:rPr>
  </w:style>
  <w:style w:type="numbering" w:customStyle="1" w:styleId="Seznamodrky">
    <w:name w:val="Seznam odrážky"/>
    <w:basedOn w:val="Bezseznamu"/>
    <w:rsid w:val="00E86733"/>
    <w:pPr>
      <w:numPr>
        <w:numId w:val="2"/>
      </w:numPr>
    </w:pPr>
  </w:style>
  <w:style w:type="table" w:styleId="Mkatabulky">
    <w:name w:val="Table Grid"/>
    <w:basedOn w:val="Normlntabulka"/>
    <w:rsid w:val="00E13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08D0"/>
    <w:pPr>
      <w:autoSpaceDE w:val="0"/>
      <w:autoSpaceDN w:val="0"/>
      <w:adjustRightInd w:val="0"/>
    </w:pPr>
    <w:rPr>
      <w:rFonts w:ascii="___WRD_EMBED_SUB_40" w:hAnsi="___WRD_EMBED_SUB_40" w:cs="___WRD_EMBED_SUB_40"/>
      <w:color w:val="000000"/>
      <w:sz w:val="24"/>
      <w:szCs w:val="24"/>
    </w:rPr>
  </w:style>
  <w:style w:type="paragraph" w:customStyle="1" w:styleId="Textodstavce">
    <w:name w:val="Text odstavce"/>
    <w:basedOn w:val="Normln"/>
    <w:rsid w:val="005C08D0"/>
    <w:pPr>
      <w:numPr>
        <w:ilvl w:val="6"/>
        <w:numId w:val="4"/>
      </w:numPr>
      <w:tabs>
        <w:tab w:val="left" w:pos="851"/>
      </w:tabs>
      <w:spacing w:before="120" w:after="120"/>
      <w:outlineLvl w:val="6"/>
    </w:pPr>
    <w:rPr>
      <w:rFonts w:ascii="Verdana" w:hAnsi="Verdana"/>
      <w:szCs w:val="20"/>
    </w:rPr>
  </w:style>
  <w:style w:type="paragraph" w:customStyle="1" w:styleId="Textbodu">
    <w:name w:val="Text bodu"/>
    <w:basedOn w:val="Normln"/>
    <w:uiPriority w:val="99"/>
    <w:rsid w:val="005C08D0"/>
    <w:pPr>
      <w:numPr>
        <w:ilvl w:val="8"/>
        <w:numId w:val="4"/>
      </w:numPr>
      <w:spacing w:before="0" w:after="0"/>
      <w:outlineLvl w:val="8"/>
    </w:pPr>
    <w:rPr>
      <w:rFonts w:ascii="Verdana" w:hAnsi="Verdana"/>
      <w:szCs w:val="20"/>
    </w:rPr>
  </w:style>
  <w:style w:type="paragraph" w:customStyle="1" w:styleId="Textpsmene">
    <w:name w:val="Text písmene"/>
    <w:basedOn w:val="Normln"/>
    <w:rsid w:val="005C08D0"/>
    <w:pPr>
      <w:numPr>
        <w:ilvl w:val="7"/>
        <w:numId w:val="4"/>
      </w:numPr>
      <w:spacing w:before="0" w:after="0"/>
      <w:outlineLvl w:val="7"/>
    </w:pPr>
    <w:rPr>
      <w:rFonts w:ascii="Verdana" w:hAnsi="Verdana"/>
      <w:szCs w:val="20"/>
    </w:rPr>
  </w:style>
  <w:style w:type="paragraph" w:styleId="Bezmezer">
    <w:name w:val="No Spacing"/>
    <w:uiPriority w:val="1"/>
    <w:qFormat/>
    <w:rsid w:val="00740BC2"/>
    <w:rPr>
      <w:rFonts w:ascii="Calibri" w:eastAsia="Calibri" w:hAnsi="Calibri"/>
      <w:sz w:val="22"/>
      <w:szCs w:val="22"/>
      <w:lang w:eastAsia="en-US"/>
    </w:rPr>
  </w:style>
  <w:style w:type="paragraph" w:styleId="Odstavecseseznamem">
    <w:name w:val="List Paragraph"/>
    <w:basedOn w:val="Normln"/>
    <w:link w:val="OdstavecseseznamemChar"/>
    <w:uiPriority w:val="99"/>
    <w:qFormat/>
    <w:rsid w:val="00417270"/>
    <w:pPr>
      <w:ind w:left="720"/>
      <w:contextualSpacing/>
    </w:pPr>
  </w:style>
  <w:style w:type="character" w:customStyle="1" w:styleId="Nadpis1Char">
    <w:name w:val="Nadpis 1 Char"/>
    <w:basedOn w:val="Standardnpsmoodstavce"/>
    <w:link w:val="Nadpis1"/>
    <w:rsid w:val="004D1AFD"/>
    <w:rPr>
      <w:rFonts w:ascii="COMTES FHT Title" w:hAnsi="COMTES FHT Title" w:cs="Arial"/>
      <w:b/>
      <w:bCs/>
      <w:kern w:val="32"/>
      <w:sz w:val="30"/>
      <w:szCs w:val="32"/>
    </w:rPr>
  </w:style>
  <w:style w:type="character" w:customStyle="1" w:styleId="OdstavecseseznamemChar">
    <w:name w:val="Odstavec se seznamem Char"/>
    <w:link w:val="Odstavecseseznamem"/>
    <w:uiPriority w:val="34"/>
    <w:rsid w:val="007C40B4"/>
    <w:rPr>
      <w:rFonts w:ascii="COMTES FHT Standard" w:hAnsi="COMTES FHT Standard"/>
      <w:szCs w:val="24"/>
    </w:rPr>
  </w:style>
  <w:style w:type="character" w:customStyle="1" w:styleId="UnresolvedMention">
    <w:name w:val="Unresolved Mention"/>
    <w:basedOn w:val="Standardnpsmoodstavce"/>
    <w:uiPriority w:val="99"/>
    <w:semiHidden/>
    <w:unhideWhenUsed/>
    <w:rsid w:val="00905CE5"/>
    <w:rPr>
      <w:color w:val="808080"/>
      <w:shd w:val="clear" w:color="auto" w:fill="E6E6E6"/>
    </w:rPr>
  </w:style>
  <w:style w:type="paragraph" w:customStyle="1" w:styleId="Standard">
    <w:name w:val="Standard"/>
    <w:rsid w:val="00D76D04"/>
    <w:pPr>
      <w:suppressAutoHyphens/>
      <w:autoSpaceDN w:val="0"/>
      <w:textAlignment w:val="baseline"/>
    </w:pPr>
    <w:rPr>
      <w:rFonts w:ascii="Liberation Serif" w:eastAsia="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036607">
      <w:bodyDiv w:val="1"/>
      <w:marLeft w:val="0"/>
      <w:marRight w:val="0"/>
      <w:marTop w:val="0"/>
      <w:marBottom w:val="0"/>
      <w:divBdr>
        <w:top w:val="none" w:sz="0" w:space="0" w:color="auto"/>
        <w:left w:val="none" w:sz="0" w:space="0" w:color="auto"/>
        <w:bottom w:val="none" w:sz="0" w:space="0" w:color="auto"/>
        <w:right w:val="none" w:sz="0" w:space="0" w:color="auto"/>
      </w:divBdr>
    </w:div>
    <w:div w:id="708066071">
      <w:bodyDiv w:val="1"/>
      <w:marLeft w:val="0"/>
      <w:marRight w:val="0"/>
      <w:marTop w:val="0"/>
      <w:marBottom w:val="0"/>
      <w:divBdr>
        <w:top w:val="none" w:sz="0" w:space="0" w:color="auto"/>
        <w:left w:val="none" w:sz="0" w:space="0" w:color="auto"/>
        <w:bottom w:val="none" w:sz="0" w:space="0" w:color="auto"/>
        <w:right w:val="none" w:sz="0" w:space="0" w:color="auto"/>
      </w:divBdr>
    </w:div>
    <w:div w:id="708605549">
      <w:bodyDiv w:val="1"/>
      <w:marLeft w:val="0"/>
      <w:marRight w:val="0"/>
      <w:marTop w:val="0"/>
      <w:marBottom w:val="0"/>
      <w:divBdr>
        <w:top w:val="none" w:sz="0" w:space="0" w:color="auto"/>
        <w:left w:val="none" w:sz="0" w:space="0" w:color="auto"/>
        <w:bottom w:val="none" w:sz="0" w:space="0" w:color="auto"/>
        <w:right w:val="none" w:sz="0" w:space="0" w:color="auto"/>
      </w:divBdr>
    </w:div>
    <w:div w:id="732240618">
      <w:bodyDiv w:val="1"/>
      <w:marLeft w:val="0"/>
      <w:marRight w:val="0"/>
      <w:marTop w:val="0"/>
      <w:marBottom w:val="0"/>
      <w:divBdr>
        <w:top w:val="none" w:sz="0" w:space="0" w:color="auto"/>
        <w:left w:val="none" w:sz="0" w:space="0" w:color="auto"/>
        <w:bottom w:val="none" w:sz="0" w:space="0" w:color="auto"/>
        <w:right w:val="none" w:sz="0" w:space="0" w:color="auto"/>
      </w:divBdr>
    </w:div>
    <w:div w:id="744843639">
      <w:bodyDiv w:val="1"/>
      <w:marLeft w:val="0"/>
      <w:marRight w:val="0"/>
      <w:marTop w:val="0"/>
      <w:marBottom w:val="0"/>
      <w:divBdr>
        <w:top w:val="none" w:sz="0" w:space="0" w:color="auto"/>
        <w:left w:val="none" w:sz="0" w:space="0" w:color="auto"/>
        <w:bottom w:val="none" w:sz="0" w:space="0" w:color="auto"/>
        <w:right w:val="none" w:sz="0" w:space="0" w:color="auto"/>
      </w:divBdr>
    </w:div>
    <w:div w:id="925573233">
      <w:bodyDiv w:val="1"/>
      <w:marLeft w:val="0"/>
      <w:marRight w:val="0"/>
      <w:marTop w:val="0"/>
      <w:marBottom w:val="0"/>
      <w:divBdr>
        <w:top w:val="none" w:sz="0" w:space="0" w:color="auto"/>
        <w:left w:val="none" w:sz="0" w:space="0" w:color="auto"/>
        <w:bottom w:val="none" w:sz="0" w:space="0" w:color="auto"/>
        <w:right w:val="none" w:sz="0" w:space="0" w:color="auto"/>
      </w:divBdr>
    </w:div>
    <w:div w:id="1105542564">
      <w:bodyDiv w:val="1"/>
      <w:marLeft w:val="0"/>
      <w:marRight w:val="0"/>
      <w:marTop w:val="0"/>
      <w:marBottom w:val="0"/>
      <w:divBdr>
        <w:top w:val="none" w:sz="0" w:space="0" w:color="auto"/>
        <w:left w:val="none" w:sz="0" w:space="0" w:color="auto"/>
        <w:bottom w:val="none" w:sz="0" w:space="0" w:color="auto"/>
        <w:right w:val="none" w:sz="0" w:space="0" w:color="auto"/>
      </w:divBdr>
    </w:div>
    <w:div w:id="144002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erver01\Sablony\V&#344;\P&#345;&#237;loha%20&#269;.%203%20-%20&#268;estn&#233;%20prohl&#225;&#353;en&#237;.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Příloha č. 3 - Čestné prohlášení.dotx</Template>
  <TotalTime>10247</TotalTime>
  <Pages>8</Pages>
  <Words>2438</Words>
  <Characters>14386</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Hlavičkový papír CZ</vt:lpstr>
    </vt:vector>
  </TitlesOfParts>
  <Company>COMTES FHT a.s.</Company>
  <LinksUpToDate>false</LinksUpToDate>
  <CharactersWithSpaces>16791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Hlavičkový papír CZ</dc:title>
  <dc:creator>Jana Škalová</dc:creator>
  <cp:lastModifiedBy>Jana Škalová</cp:lastModifiedBy>
  <cp:revision>397</cp:revision>
  <cp:lastPrinted>2015-11-19T07:22:00Z</cp:lastPrinted>
  <dcterms:created xsi:type="dcterms:W3CDTF">2015-07-09T15:09:00Z</dcterms:created>
  <dcterms:modified xsi:type="dcterms:W3CDTF">2018-07-30T14:12:00Z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ývojová verze">
    <vt:lpwstr>2014.05</vt:lpwstr>
  </property>
</Properties>
</file>